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47C1C3" w14:textId="77777777" w:rsidR="00CE63EE" w:rsidRPr="00473266" w:rsidRDefault="00CE63EE" w:rsidP="00CE63EE">
      <w:pPr>
        <w:rPr>
          <w:rFonts w:asciiTheme="majorHAnsi" w:hAnsiTheme="majorHAnsi"/>
          <w:b/>
          <w:sz w:val="28"/>
        </w:rPr>
      </w:pPr>
      <w:bookmarkStart w:id="0" w:name="_GoBack"/>
      <w:bookmarkEnd w:id="0"/>
      <w:r w:rsidRPr="00473266">
        <w:rPr>
          <w:rFonts w:asciiTheme="majorHAnsi" w:hAnsiTheme="majorHAnsi"/>
          <w:b/>
          <w:sz w:val="28"/>
        </w:rPr>
        <w:t>Argumentaire en défense du Service Rendu par les Injections intra-articulaires d’Acide Hyaluronique dans la prise en charge de la gonarthrose symptomatique</w:t>
      </w:r>
    </w:p>
    <w:p w14:paraId="12E11010" w14:textId="77777777" w:rsidR="00CE63EE" w:rsidRDefault="00CE63EE" w:rsidP="00CE63EE">
      <w:pPr>
        <w:rPr>
          <w:rFonts w:asciiTheme="majorHAnsi" w:hAnsiTheme="majorHAnsi"/>
          <w:b/>
        </w:rPr>
      </w:pPr>
    </w:p>
    <w:p w14:paraId="5F31EE75" w14:textId="135D112D" w:rsidR="00CE63EE" w:rsidRPr="00473266" w:rsidRDefault="00CE63EE" w:rsidP="00CE63EE">
      <w:pPr>
        <w:rPr>
          <w:rFonts w:asciiTheme="majorHAnsi" w:hAnsiTheme="majorHAnsi"/>
        </w:rPr>
      </w:pPr>
      <w:r>
        <w:rPr>
          <w:rFonts w:asciiTheme="majorHAnsi" w:hAnsiTheme="majorHAnsi"/>
        </w:rPr>
        <w:t>Emmanuel Mahe</w:t>
      </w:r>
      <w:r w:rsidR="002F2A33">
        <w:rPr>
          <w:rFonts w:asciiTheme="majorHAnsi" w:hAnsiTheme="majorHAnsi"/>
        </w:rPr>
        <w:t>u et Hervé Bard (Rhumatologues -</w:t>
      </w:r>
      <w:r>
        <w:rPr>
          <w:rFonts w:asciiTheme="majorHAnsi" w:hAnsiTheme="majorHAnsi"/>
        </w:rPr>
        <w:t xml:space="preserve"> Paris)</w:t>
      </w:r>
    </w:p>
    <w:p w14:paraId="1995E4A2" w14:textId="77777777" w:rsidR="00CE63EE" w:rsidRDefault="00CE63EE" w:rsidP="00CE63EE">
      <w:pPr>
        <w:rPr>
          <w:rFonts w:asciiTheme="majorHAnsi" w:hAnsiTheme="majorHAnsi"/>
          <w:b/>
        </w:rPr>
      </w:pPr>
    </w:p>
    <w:p w14:paraId="2670E46F" w14:textId="77777777" w:rsidR="00CE63EE" w:rsidRDefault="00CE63EE" w:rsidP="00CE63EE">
      <w:pPr>
        <w:rPr>
          <w:rFonts w:asciiTheme="majorHAnsi" w:hAnsiTheme="majorHAnsi"/>
          <w:b/>
        </w:rPr>
      </w:pPr>
    </w:p>
    <w:p w14:paraId="53F83809" w14:textId="77777777" w:rsidR="00CE63EE" w:rsidRPr="00E23486" w:rsidRDefault="00CE63EE" w:rsidP="00CE63EE">
      <w:pPr>
        <w:rPr>
          <w:rFonts w:asciiTheme="majorHAnsi" w:hAnsiTheme="majorHAnsi"/>
          <w:b/>
        </w:rPr>
      </w:pPr>
      <w:r>
        <w:rPr>
          <w:rFonts w:asciiTheme="majorHAnsi" w:hAnsiTheme="majorHAnsi"/>
          <w:b/>
        </w:rPr>
        <w:t>1</w:t>
      </w:r>
      <w:r w:rsidRPr="00E23486">
        <w:rPr>
          <w:rFonts w:asciiTheme="majorHAnsi" w:hAnsiTheme="majorHAnsi"/>
          <w:b/>
        </w:rPr>
        <w:t xml:space="preserve">. De la </w:t>
      </w:r>
      <w:r>
        <w:rPr>
          <w:rFonts w:asciiTheme="majorHAnsi" w:hAnsiTheme="majorHAnsi"/>
          <w:b/>
        </w:rPr>
        <w:t xml:space="preserve">gonarthrose et de sa </w:t>
      </w:r>
      <w:r w:rsidRPr="00E23486">
        <w:rPr>
          <w:rFonts w:asciiTheme="majorHAnsi" w:hAnsiTheme="majorHAnsi"/>
          <w:b/>
        </w:rPr>
        <w:t>prise en charge en France</w:t>
      </w:r>
      <w:r>
        <w:rPr>
          <w:rFonts w:asciiTheme="majorHAnsi" w:hAnsiTheme="majorHAnsi"/>
          <w:b/>
        </w:rPr>
        <w:t xml:space="preserve"> et dans les autres pays</w:t>
      </w:r>
    </w:p>
    <w:p w14:paraId="748A9692" w14:textId="77777777" w:rsidR="00CE63EE" w:rsidRDefault="00CE63EE" w:rsidP="00CE63EE">
      <w:pPr>
        <w:rPr>
          <w:rFonts w:asciiTheme="majorHAnsi" w:hAnsiTheme="majorHAnsi"/>
        </w:rPr>
      </w:pPr>
    </w:p>
    <w:p w14:paraId="5AF8CD01" w14:textId="77777777" w:rsidR="0019118F" w:rsidRPr="0019118F" w:rsidRDefault="00CE63EE" w:rsidP="009B0F37">
      <w:pPr>
        <w:rPr>
          <w:rFonts w:asciiTheme="majorHAnsi" w:hAnsiTheme="majorHAnsi"/>
        </w:rPr>
      </w:pPr>
      <w:r w:rsidRPr="0019118F">
        <w:rPr>
          <w:rFonts w:asciiTheme="majorHAnsi" w:hAnsiTheme="majorHAnsi"/>
        </w:rPr>
        <w:t>La gonarthrose</w:t>
      </w:r>
      <w:r w:rsidR="009B0F37" w:rsidRPr="0019118F">
        <w:rPr>
          <w:rFonts w:asciiTheme="majorHAnsi" w:hAnsiTheme="majorHAnsi"/>
        </w:rPr>
        <w:t xml:space="preserve"> est une maladie fréquente</w:t>
      </w:r>
      <w:r w:rsidRPr="0019118F">
        <w:rPr>
          <w:rFonts w:asciiTheme="majorHAnsi" w:hAnsiTheme="majorHAnsi"/>
        </w:rPr>
        <w:t>.</w:t>
      </w:r>
      <w:r w:rsidR="009B0F37" w:rsidRPr="0019118F">
        <w:rPr>
          <w:rFonts w:asciiTheme="majorHAnsi" w:hAnsiTheme="majorHAnsi"/>
        </w:rPr>
        <w:t xml:space="preserve"> En France, on estime à plus de 2 .5 millions le nombre personnes de plus de 65 ans souffrant de gonarthrose</w:t>
      </w:r>
      <w:r w:rsidR="002F2A33" w:rsidRPr="0019118F">
        <w:rPr>
          <w:rFonts w:asciiTheme="majorHAnsi" w:hAnsiTheme="majorHAnsi"/>
        </w:rPr>
        <w:t xml:space="preserve"> (1)</w:t>
      </w:r>
      <w:r w:rsidR="009B0F37" w:rsidRPr="0019118F">
        <w:rPr>
          <w:rFonts w:asciiTheme="majorHAnsi" w:hAnsiTheme="majorHAnsi"/>
        </w:rPr>
        <w:t>.</w:t>
      </w:r>
      <w:r w:rsidR="004616C6" w:rsidRPr="0019118F">
        <w:rPr>
          <w:rFonts w:asciiTheme="majorHAnsi" w:hAnsiTheme="majorHAnsi"/>
        </w:rPr>
        <w:t xml:space="preserve"> </w:t>
      </w:r>
    </w:p>
    <w:p w14:paraId="741B0365" w14:textId="3F520ABE" w:rsidR="009B0F37" w:rsidRPr="0019118F" w:rsidRDefault="0019118F" w:rsidP="009B0F37">
      <w:pPr>
        <w:rPr>
          <w:rFonts w:asciiTheme="majorHAnsi" w:hAnsiTheme="majorHAnsi"/>
        </w:rPr>
      </w:pPr>
      <w:r w:rsidRPr="0019118F">
        <w:rPr>
          <w:rFonts w:asciiTheme="majorHAnsi" w:hAnsiTheme="majorHAnsi"/>
        </w:rPr>
        <w:t xml:space="preserve">La prévalence de la gonarthrose radiographique était de </w:t>
      </w:r>
      <w:r w:rsidR="004616C6" w:rsidRPr="0019118F">
        <w:rPr>
          <w:rFonts w:asciiTheme="majorHAnsi" w:hAnsiTheme="majorHAnsi"/>
        </w:rPr>
        <w:t xml:space="preserve">19.2% </w:t>
      </w:r>
      <w:r w:rsidRPr="0019118F">
        <w:rPr>
          <w:rFonts w:asciiTheme="majorHAnsi" w:hAnsiTheme="majorHAnsi"/>
        </w:rPr>
        <w:t xml:space="preserve">chez les adultes d’âge ≥ 45 ans dans la cohorte de Framingham, de </w:t>
      </w:r>
      <w:r w:rsidR="004616C6" w:rsidRPr="0019118F">
        <w:rPr>
          <w:rFonts w:asciiTheme="majorHAnsi" w:hAnsiTheme="majorHAnsi"/>
        </w:rPr>
        <w:t xml:space="preserve">27.8% </w:t>
      </w:r>
      <w:r w:rsidRPr="0019118F">
        <w:rPr>
          <w:rFonts w:asciiTheme="majorHAnsi" w:hAnsiTheme="majorHAnsi"/>
        </w:rPr>
        <w:t>dans le projet</w:t>
      </w:r>
      <w:r w:rsidR="004616C6" w:rsidRPr="0019118F">
        <w:rPr>
          <w:rFonts w:asciiTheme="majorHAnsi" w:hAnsiTheme="majorHAnsi"/>
        </w:rPr>
        <w:t xml:space="preserve"> Johnston County Osteoarthritis </w:t>
      </w:r>
      <w:r w:rsidRPr="0019118F">
        <w:rPr>
          <w:rFonts w:asciiTheme="majorHAnsi" w:hAnsiTheme="majorHAnsi"/>
        </w:rPr>
        <w:t>et d’environ 37% des participants âgés de plus de 60 ans dans la 3</w:t>
      </w:r>
      <w:r w:rsidRPr="0019118F">
        <w:rPr>
          <w:rFonts w:asciiTheme="majorHAnsi" w:hAnsiTheme="majorHAnsi"/>
          <w:vertAlign w:val="superscript"/>
        </w:rPr>
        <w:t>ème</w:t>
      </w:r>
      <w:r w:rsidR="004616C6" w:rsidRPr="0019118F">
        <w:rPr>
          <w:rFonts w:asciiTheme="majorHAnsi" w:hAnsiTheme="majorHAnsi"/>
        </w:rPr>
        <w:t xml:space="preserve"> National Health and Nutrition E</w:t>
      </w:r>
      <w:r w:rsidRPr="0019118F">
        <w:rPr>
          <w:rFonts w:asciiTheme="majorHAnsi" w:hAnsiTheme="majorHAnsi"/>
        </w:rPr>
        <w:t>xamination Survey (NHANES III)</w:t>
      </w:r>
      <w:r>
        <w:rPr>
          <w:rFonts w:asciiTheme="majorHAnsi" w:hAnsiTheme="majorHAnsi"/>
        </w:rPr>
        <w:t xml:space="preserve"> Américaine (</w:t>
      </w:r>
      <w:r w:rsidRPr="0019118F">
        <w:rPr>
          <w:rFonts w:asciiTheme="majorHAnsi" w:hAnsiTheme="majorHAnsi"/>
        </w:rPr>
        <w:t>2). La gonarthrose symptomatique est la plus fréquente des localisations arthrosiques symptomatiques (2). Le risque sur une vie de développer une gonarthrose symptomatique a été évalué à environ 40% chez les hommes</w:t>
      </w:r>
      <w:r w:rsidR="001D7200">
        <w:rPr>
          <w:rFonts w:asciiTheme="majorHAnsi" w:hAnsiTheme="majorHAnsi"/>
        </w:rPr>
        <w:t xml:space="preserve"> et</w:t>
      </w:r>
      <w:r w:rsidRPr="0019118F">
        <w:rPr>
          <w:rFonts w:asciiTheme="majorHAnsi" w:hAnsiTheme="majorHAnsi"/>
        </w:rPr>
        <w:t xml:space="preserve"> 47% chez les femmes</w:t>
      </w:r>
      <w:r>
        <w:rPr>
          <w:rFonts w:asciiTheme="majorHAnsi" w:hAnsiTheme="majorHAnsi"/>
        </w:rPr>
        <w:t xml:space="preserve"> (</w:t>
      </w:r>
      <w:r w:rsidRPr="0019118F">
        <w:rPr>
          <w:rFonts w:asciiTheme="majorHAnsi" w:hAnsiTheme="majorHAnsi"/>
        </w:rPr>
        <w:t>2).</w:t>
      </w:r>
    </w:p>
    <w:p w14:paraId="5D48BB34" w14:textId="6F8EAF05" w:rsidR="00CE63EE" w:rsidRDefault="00CE63EE" w:rsidP="00CE63EE">
      <w:pPr>
        <w:rPr>
          <w:rFonts w:asciiTheme="majorHAnsi" w:hAnsiTheme="majorHAnsi"/>
        </w:rPr>
      </w:pPr>
    </w:p>
    <w:p w14:paraId="4A42A20A" w14:textId="77777777" w:rsidR="00CE63EE" w:rsidRDefault="00CE63EE" w:rsidP="00CE63EE">
      <w:pPr>
        <w:rPr>
          <w:rFonts w:asciiTheme="majorHAnsi" w:hAnsiTheme="majorHAnsi"/>
        </w:rPr>
      </w:pPr>
      <w:r>
        <w:rPr>
          <w:rFonts w:asciiTheme="majorHAnsi" w:hAnsiTheme="majorHAnsi"/>
        </w:rPr>
        <w:t>C’est une maladie invalidante dans un nombre non négligeable de cas. Aux USA, 10 % des patients ont du mal à aller de leur chambre à la salle de bains.</w:t>
      </w:r>
    </w:p>
    <w:p w14:paraId="794F45E7" w14:textId="77777777" w:rsidR="00CE63EE" w:rsidRDefault="00CE63EE" w:rsidP="00CE63EE">
      <w:pPr>
        <w:rPr>
          <w:rFonts w:asciiTheme="majorHAnsi" w:hAnsiTheme="majorHAnsi"/>
        </w:rPr>
      </w:pPr>
      <w:r>
        <w:rPr>
          <w:rFonts w:asciiTheme="majorHAnsi" w:hAnsiTheme="majorHAnsi"/>
        </w:rPr>
        <w:t>Sa prévalence est en augmentation ces dernières années, du fait du vieillissement croissant des populations, de l’augmentation de la fréquence de l’obésité ou du surpoids, et également de celle des blessures traumatiques. Mais elle croit aussi chez les non-obèses ayant la cinquantaine (3)</w:t>
      </w:r>
    </w:p>
    <w:p w14:paraId="71399AD0" w14:textId="77777777" w:rsidR="00CE63EE" w:rsidRDefault="00CE63EE" w:rsidP="00CE63EE">
      <w:pPr>
        <w:rPr>
          <w:rFonts w:asciiTheme="majorHAnsi" w:hAnsiTheme="majorHAnsi"/>
        </w:rPr>
      </w:pPr>
    </w:p>
    <w:p w14:paraId="7FE474B6" w14:textId="7BFA89AB" w:rsidR="008F0061" w:rsidRDefault="00CE63EE" w:rsidP="00CE63EE">
      <w:pPr>
        <w:rPr>
          <w:rFonts w:asciiTheme="majorHAnsi" w:hAnsiTheme="majorHAnsi"/>
        </w:rPr>
      </w:pPr>
      <w:r>
        <w:rPr>
          <w:rFonts w:asciiTheme="majorHAnsi" w:hAnsiTheme="majorHAnsi"/>
        </w:rPr>
        <w:t xml:space="preserve">Elle </w:t>
      </w:r>
      <w:r w:rsidR="001D7200">
        <w:rPr>
          <w:rFonts w:asciiTheme="majorHAnsi" w:hAnsiTheme="majorHAnsi"/>
        </w:rPr>
        <w:t>« </w:t>
      </w:r>
      <w:r>
        <w:rPr>
          <w:rFonts w:asciiTheme="majorHAnsi" w:hAnsiTheme="majorHAnsi"/>
        </w:rPr>
        <w:t>pèse</w:t>
      </w:r>
      <w:r w:rsidR="001D7200">
        <w:rPr>
          <w:rFonts w:asciiTheme="majorHAnsi" w:hAnsiTheme="majorHAnsi"/>
        </w:rPr>
        <w:t> »</w:t>
      </w:r>
      <w:r>
        <w:rPr>
          <w:rFonts w:asciiTheme="majorHAnsi" w:hAnsiTheme="majorHAnsi"/>
        </w:rPr>
        <w:t xml:space="preserve"> en France, si l’on se base sur le registre hospitalier français entre 2002 et 2007, environ 70 000 prothèses (PTG), dont 5000 reprises chirurgicales par an, soit un taux d’environ 106 prothèses/100 000 habitants (4), ce qui est un taux bas comparativement à la plupart des pays qui nous sont économiquement comparables : USA 234,2 ; Allemagne 215,8 ; Suisse 193,1 ; Finlande 190,9 ; Australie 180,2</w:t>
      </w:r>
      <w:r w:rsidR="002F2A33">
        <w:rPr>
          <w:rFonts w:asciiTheme="majorHAnsi" w:hAnsiTheme="majorHAnsi"/>
        </w:rPr>
        <w:t> ; Danemark 160,1 ; Angleterre -</w:t>
      </w:r>
      <w:r>
        <w:rPr>
          <w:rFonts w:asciiTheme="majorHAnsi" w:hAnsiTheme="majorHAnsi"/>
        </w:rPr>
        <w:t xml:space="preserve"> Pays de Galles 154,1 ; Canada 153,1 ; Nouvelle Zélande 152,6. Les seuls pays ayant des taux proches</w:t>
      </w:r>
      <w:r w:rsidR="002F2A33">
        <w:rPr>
          <w:rFonts w:asciiTheme="majorHAnsi" w:hAnsiTheme="majorHAnsi"/>
        </w:rPr>
        <w:t xml:space="preserve"> du nôtre sont l’Italie 100,4,</w:t>
      </w:r>
      <w:r>
        <w:rPr>
          <w:rFonts w:asciiTheme="majorHAnsi" w:hAnsiTheme="majorHAnsi"/>
        </w:rPr>
        <w:t xml:space="preserve"> la Norvège 92,5 et l’Espagne 92,8 (4).</w:t>
      </w:r>
    </w:p>
    <w:p w14:paraId="156083AC" w14:textId="77777777" w:rsidR="008F0061" w:rsidRDefault="008F0061" w:rsidP="00CE63EE">
      <w:pPr>
        <w:rPr>
          <w:rFonts w:asciiTheme="majorHAnsi" w:hAnsiTheme="majorHAnsi"/>
        </w:rPr>
      </w:pPr>
    </w:p>
    <w:p w14:paraId="787B7A5F" w14:textId="009942CC" w:rsidR="00D855BD" w:rsidRDefault="00E60219" w:rsidP="00CE63EE">
      <w:pPr>
        <w:rPr>
          <w:rFonts w:asciiTheme="majorHAnsi" w:hAnsiTheme="majorHAnsi"/>
        </w:rPr>
      </w:pPr>
      <w:r>
        <w:rPr>
          <w:rFonts w:asciiTheme="majorHAnsi" w:hAnsiTheme="majorHAnsi"/>
        </w:rPr>
        <w:t>Comment</w:t>
      </w:r>
      <w:r w:rsidR="008F0061">
        <w:rPr>
          <w:rFonts w:asciiTheme="majorHAnsi" w:hAnsiTheme="majorHAnsi"/>
        </w:rPr>
        <w:t xml:space="preserve"> expliquer cette quasi-« exception Française » </w:t>
      </w:r>
      <w:r w:rsidR="00926803">
        <w:rPr>
          <w:rFonts w:asciiTheme="majorHAnsi" w:hAnsiTheme="majorHAnsi"/>
        </w:rPr>
        <w:t>concernant c</w:t>
      </w:r>
      <w:r w:rsidR="00D855BD">
        <w:rPr>
          <w:rFonts w:asciiTheme="majorHAnsi" w:hAnsiTheme="majorHAnsi"/>
        </w:rPr>
        <w:t>e taux bas de PTG</w:t>
      </w:r>
      <w:r>
        <w:rPr>
          <w:rFonts w:asciiTheme="majorHAnsi" w:hAnsiTheme="majorHAnsi"/>
        </w:rPr>
        <w:t xml:space="preserve"> </w:t>
      </w:r>
      <w:r w:rsidR="00926803">
        <w:rPr>
          <w:rFonts w:asciiTheme="majorHAnsi" w:hAnsiTheme="majorHAnsi"/>
        </w:rPr>
        <w:t xml:space="preserve">comparé </w:t>
      </w:r>
      <w:r w:rsidR="0061091D">
        <w:rPr>
          <w:rFonts w:asciiTheme="majorHAnsi" w:hAnsiTheme="majorHAnsi"/>
        </w:rPr>
        <w:t>à ceux de</w:t>
      </w:r>
      <w:r w:rsidR="00926803">
        <w:rPr>
          <w:rFonts w:asciiTheme="majorHAnsi" w:hAnsiTheme="majorHAnsi"/>
        </w:rPr>
        <w:t xml:space="preserve"> nos voisins</w:t>
      </w:r>
      <w:r w:rsidR="00D855BD">
        <w:rPr>
          <w:rFonts w:asciiTheme="majorHAnsi" w:hAnsiTheme="majorHAnsi"/>
        </w:rPr>
        <w:t xml:space="preserve"> </w:t>
      </w:r>
      <w:r w:rsidR="008F0061">
        <w:rPr>
          <w:rFonts w:asciiTheme="majorHAnsi" w:hAnsiTheme="majorHAnsi"/>
        </w:rPr>
        <w:t xml:space="preserve">? </w:t>
      </w:r>
      <w:r w:rsidR="00926803">
        <w:rPr>
          <w:rFonts w:asciiTheme="majorHAnsi" w:hAnsiTheme="majorHAnsi"/>
        </w:rPr>
        <w:t>Plusieurs facteurs peuvent intervenir :</w:t>
      </w:r>
    </w:p>
    <w:p w14:paraId="65EE0F64" w14:textId="5C006DFB" w:rsidR="00926803" w:rsidRDefault="00926803" w:rsidP="00926803">
      <w:pPr>
        <w:ind w:firstLine="708"/>
        <w:rPr>
          <w:rFonts w:asciiTheme="majorHAnsi" w:hAnsiTheme="majorHAnsi"/>
        </w:rPr>
      </w:pPr>
      <w:r>
        <w:rPr>
          <w:rFonts w:asciiTheme="majorHAnsi" w:hAnsiTheme="majorHAnsi"/>
        </w:rPr>
        <w:t>a. Nous avons un bon niveau de prise en charge médicale remboursée (consultations, médicaments, et soins physiques)</w:t>
      </w:r>
      <w:r w:rsidR="00016E02">
        <w:rPr>
          <w:rFonts w:asciiTheme="majorHAnsi" w:hAnsiTheme="majorHAnsi"/>
        </w:rPr>
        <w:t>.</w:t>
      </w:r>
    </w:p>
    <w:p w14:paraId="0C05F7CF" w14:textId="77777777" w:rsidR="00016E02" w:rsidRDefault="00016E02" w:rsidP="00926803">
      <w:pPr>
        <w:ind w:firstLine="708"/>
        <w:rPr>
          <w:rFonts w:asciiTheme="majorHAnsi" w:hAnsiTheme="majorHAnsi"/>
        </w:rPr>
      </w:pPr>
    </w:p>
    <w:p w14:paraId="7CDEF7C1" w14:textId="5BF70C80" w:rsidR="00016E02" w:rsidRDefault="00926803" w:rsidP="00016E02">
      <w:pPr>
        <w:ind w:firstLine="708"/>
        <w:rPr>
          <w:rFonts w:asciiTheme="majorHAnsi" w:hAnsiTheme="majorHAnsi"/>
        </w:rPr>
      </w:pPr>
      <w:r>
        <w:rPr>
          <w:rFonts w:asciiTheme="majorHAnsi" w:hAnsiTheme="majorHAnsi"/>
        </w:rPr>
        <w:t>b. Une proportion importante de patients arthrosiques bénéficie d’une prise en charge médicale par des rhumatologues</w:t>
      </w:r>
      <w:r w:rsidR="00E60219">
        <w:rPr>
          <w:rFonts w:asciiTheme="majorHAnsi" w:hAnsiTheme="majorHAnsi"/>
        </w:rPr>
        <w:t>, notamment libéraux</w:t>
      </w:r>
      <w:r>
        <w:rPr>
          <w:rFonts w:asciiTheme="majorHAnsi" w:hAnsiTheme="majorHAnsi"/>
        </w:rPr>
        <w:t xml:space="preserve"> qui sont en nombre élevé en France (Plus de 2500) comparativement aux autres pays d’Europe, aux USA ou à</w:t>
      </w:r>
      <w:r w:rsidR="006B6152">
        <w:rPr>
          <w:rFonts w:asciiTheme="majorHAnsi" w:hAnsiTheme="majorHAnsi"/>
        </w:rPr>
        <w:t xml:space="preserve"> l’Australie (600</w:t>
      </w:r>
      <w:r>
        <w:rPr>
          <w:rFonts w:asciiTheme="majorHAnsi" w:hAnsiTheme="majorHAnsi"/>
        </w:rPr>
        <w:t xml:space="preserve"> rhumatologues</w:t>
      </w:r>
      <w:r w:rsidR="0061091D">
        <w:rPr>
          <w:rFonts w:asciiTheme="majorHAnsi" w:hAnsiTheme="majorHAnsi"/>
        </w:rPr>
        <w:t>, à</w:t>
      </w:r>
      <w:r w:rsidR="00B03E90">
        <w:rPr>
          <w:rFonts w:asciiTheme="majorHAnsi" w:hAnsiTheme="majorHAnsi"/>
        </w:rPr>
        <w:t xml:space="preserve"> activité hospitalière prédominante,</w:t>
      </w:r>
      <w:r>
        <w:rPr>
          <w:rFonts w:asciiTheme="majorHAnsi" w:hAnsiTheme="majorHAnsi"/>
        </w:rPr>
        <w:t xml:space="preserve"> en Grande Bretagne, par exemple). La France est aussi l’un des rares pays où les pathologies « mécaniques » telle que l’arthrose </w:t>
      </w:r>
      <w:r w:rsidR="00801C70">
        <w:rPr>
          <w:rFonts w:asciiTheme="majorHAnsi" w:hAnsiTheme="majorHAnsi"/>
        </w:rPr>
        <w:t xml:space="preserve">sont </w:t>
      </w:r>
      <w:r w:rsidR="00016E02">
        <w:rPr>
          <w:rFonts w:asciiTheme="majorHAnsi" w:hAnsiTheme="majorHAnsi"/>
        </w:rPr>
        <w:t xml:space="preserve">traditionnellement, et de longue date, </w:t>
      </w:r>
      <w:r w:rsidR="00801C70">
        <w:rPr>
          <w:rFonts w:asciiTheme="majorHAnsi" w:hAnsiTheme="majorHAnsi"/>
        </w:rPr>
        <w:t>prises en charge par les rhumatologues</w:t>
      </w:r>
      <w:r w:rsidR="00016E02">
        <w:rPr>
          <w:rFonts w:asciiTheme="majorHAnsi" w:hAnsiTheme="majorHAnsi"/>
        </w:rPr>
        <w:t xml:space="preserve"> (la prise en charge de ces pathologies est même à l’origine de la naissance de la rhumatologie en général et du modèle Français)</w:t>
      </w:r>
      <w:r w:rsidR="00801C70">
        <w:rPr>
          <w:rFonts w:asciiTheme="majorHAnsi" w:hAnsiTheme="majorHAnsi"/>
        </w:rPr>
        <w:t>.</w:t>
      </w:r>
    </w:p>
    <w:p w14:paraId="17B8A67C" w14:textId="16D5C36D" w:rsidR="00016E02" w:rsidRDefault="00801C70" w:rsidP="00016E02">
      <w:pPr>
        <w:rPr>
          <w:rFonts w:asciiTheme="majorHAnsi" w:hAnsiTheme="majorHAnsi"/>
        </w:rPr>
      </w:pPr>
      <w:r>
        <w:rPr>
          <w:rFonts w:asciiTheme="majorHAnsi" w:hAnsiTheme="majorHAnsi"/>
        </w:rPr>
        <w:lastRenderedPageBreak/>
        <w:t xml:space="preserve">En Allemagne, ou aux USA par exemple, nombre de patients arthrosiques sont directement suivis par des orthopédistes, ce qui les met en conflit d’intérêt vis-à-vis d’une prise en charge exclusivement médicale et conduit les patients plus </w:t>
      </w:r>
      <w:r w:rsidR="00B03E90">
        <w:rPr>
          <w:rFonts w:asciiTheme="majorHAnsi" w:hAnsiTheme="majorHAnsi"/>
        </w:rPr>
        <w:t xml:space="preserve">souvent mais aussi </w:t>
      </w:r>
      <w:r>
        <w:rPr>
          <w:rFonts w:asciiTheme="majorHAnsi" w:hAnsiTheme="majorHAnsi"/>
        </w:rPr>
        <w:t xml:space="preserve">rapidement </w:t>
      </w:r>
      <w:r w:rsidR="007C6C89">
        <w:rPr>
          <w:rFonts w:asciiTheme="majorHAnsi" w:hAnsiTheme="majorHAnsi"/>
        </w:rPr>
        <w:t>à la prothèse</w:t>
      </w:r>
      <w:r w:rsidR="00B03E90">
        <w:rPr>
          <w:rFonts w:asciiTheme="majorHAnsi" w:hAnsiTheme="majorHAnsi"/>
        </w:rPr>
        <w:t>, avec des taux de reprise importants</w:t>
      </w:r>
      <w:r w:rsidR="007C6C89">
        <w:rPr>
          <w:rFonts w:asciiTheme="majorHAnsi" w:hAnsiTheme="majorHAnsi"/>
        </w:rPr>
        <w:t>.</w:t>
      </w:r>
      <w:r w:rsidR="00E60219">
        <w:rPr>
          <w:rFonts w:asciiTheme="majorHAnsi" w:hAnsiTheme="majorHAnsi"/>
        </w:rPr>
        <w:t xml:space="preserve"> </w:t>
      </w:r>
    </w:p>
    <w:p w14:paraId="722CD72A" w14:textId="21D794E0" w:rsidR="00926803" w:rsidRDefault="00E60219" w:rsidP="00016E02">
      <w:pPr>
        <w:rPr>
          <w:rFonts w:asciiTheme="majorHAnsi" w:hAnsiTheme="majorHAnsi"/>
        </w:rPr>
      </w:pPr>
      <w:r>
        <w:rPr>
          <w:rFonts w:asciiTheme="majorHAnsi" w:hAnsiTheme="majorHAnsi"/>
        </w:rPr>
        <w:t>En France, le recours aux traitements symptomatiques d’action différée dans l’arthrose est plus élevé qu’au Royaume Uni ou même qu’en Espagne. En revanche, nous utilisons moins d’opioïdes ou d’anti-inflammatoires non stéroïdiens (AINS) que nos voisins.</w:t>
      </w:r>
    </w:p>
    <w:p w14:paraId="17880F5A" w14:textId="77777777" w:rsidR="00016E02" w:rsidRDefault="00016E02" w:rsidP="00016E02">
      <w:pPr>
        <w:rPr>
          <w:rFonts w:asciiTheme="majorHAnsi" w:hAnsiTheme="majorHAnsi"/>
        </w:rPr>
      </w:pPr>
    </w:p>
    <w:p w14:paraId="336ABE5C" w14:textId="3ACE0147" w:rsidR="00E60219" w:rsidRDefault="00E60219" w:rsidP="00926803">
      <w:pPr>
        <w:ind w:firstLine="708"/>
        <w:rPr>
          <w:rFonts w:asciiTheme="majorHAnsi" w:hAnsiTheme="majorHAnsi"/>
        </w:rPr>
      </w:pPr>
      <w:r>
        <w:rPr>
          <w:rFonts w:asciiTheme="majorHAnsi" w:hAnsiTheme="majorHAnsi"/>
        </w:rPr>
        <w:t>c. Cette prise en charge médicale, pharmacologique et non pharmacologique est certainement un des facteurs responsable du nombre réduit de prothèses totales posées dans la gonarthrose</w:t>
      </w:r>
      <w:r w:rsidR="00016E02">
        <w:rPr>
          <w:rFonts w:asciiTheme="majorHAnsi" w:hAnsiTheme="majorHAnsi"/>
        </w:rPr>
        <w:t xml:space="preserve"> en France et de la croissance moindre de ce taux</w:t>
      </w:r>
      <w:r>
        <w:rPr>
          <w:rFonts w:asciiTheme="majorHAnsi" w:hAnsiTheme="majorHAnsi"/>
        </w:rPr>
        <w:t>.</w:t>
      </w:r>
    </w:p>
    <w:p w14:paraId="439E5AD2" w14:textId="77777777" w:rsidR="00D855BD" w:rsidRDefault="00D855BD" w:rsidP="00CE63EE">
      <w:pPr>
        <w:rPr>
          <w:rFonts w:asciiTheme="majorHAnsi" w:hAnsiTheme="majorHAnsi"/>
        </w:rPr>
      </w:pPr>
    </w:p>
    <w:p w14:paraId="58FFD6EB" w14:textId="2B700498" w:rsidR="00CE63EE" w:rsidRPr="00A17FBD" w:rsidRDefault="00CE63EE" w:rsidP="00A17FBD">
      <w:pPr>
        <w:spacing w:after="240"/>
        <w:rPr>
          <w:rFonts w:asciiTheme="majorHAnsi" w:eastAsia="Times New Roman" w:hAnsiTheme="majorHAnsi" w:cs="Arial"/>
          <w:color w:val="FF0000"/>
          <w:sz w:val="18"/>
          <w:szCs w:val="18"/>
        </w:rPr>
      </w:pPr>
      <w:r>
        <w:rPr>
          <w:rFonts w:asciiTheme="majorHAnsi" w:hAnsiTheme="majorHAnsi"/>
        </w:rPr>
        <w:t xml:space="preserve">L’incidence du taux de PTG croit rapidement parmi les « baby-boomers » titre un article Finlandais récent de 0,5/100 000 habitants en 1980 à 65/100 000 habitants en 2006 (5). </w:t>
      </w:r>
      <w:r w:rsidRPr="000A1749">
        <w:rPr>
          <w:rFonts w:asciiTheme="majorHAnsi" w:hAnsiTheme="majorHAnsi"/>
        </w:rPr>
        <w:t xml:space="preserve">D’ici 2030, le nombre de PTG devrait croitre aux USA </w:t>
      </w:r>
      <w:r>
        <w:rPr>
          <w:rFonts w:asciiTheme="majorHAnsi" w:hAnsiTheme="majorHAnsi"/>
        </w:rPr>
        <w:t xml:space="preserve">de </w:t>
      </w:r>
      <w:r>
        <w:rPr>
          <w:rFonts w:asciiTheme="majorHAnsi" w:hAnsiTheme="majorHAnsi" w:cs="Arial"/>
        </w:rPr>
        <w:t xml:space="preserve">673 % jusqu’à atteindre 3.48 millions d’interventions. Les reprises de PTG devraient augmenter de 600 % (6). </w:t>
      </w:r>
    </w:p>
    <w:p w14:paraId="69E4D820" w14:textId="77777777" w:rsidR="00CE63EE" w:rsidRPr="000A1749" w:rsidRDefault="00CE63EE" w:rsidP="00CE63EE">
      <w:pPr>
        <w:rPr>
          <w:rFonts w:asciiTheme="majorHAnsi" w:hAnsiTheme="majorHAnsi"/>
        </w:rPr>
      </w:pPr>
      <w:r>
        <w:rPr>
          <w:rFonts w:asciiTheme="majorHAnsi" w:hAnsiTheme="majorHAnsi" w:cs="Arial"/>
        </w:rPr>
        <w:t>Les projections aux Pays-Bas donnent une augmentation prévisible de 297 % d’ici à 2030 pour les PTG posées pour arthrose (7).</w:t>
      </w:r>
    </w:p>
    <w:p w14:paraId="0B442CE7" w14:textId="77777777" w:rsidR="00CE63EE" w:rsidRDefault="00CE63EE" w:rsidP="00CE63EE">
      <w:pPr>
        <w:rPr>
          <w:rFonts w:asciiTheme="majorHAnsi" w:hAnsiTheme="majorHAnsi"/>
        </w:rPr>
      </w:pPr>
    </w:p>
    <w:p w14:paraId="517B5543" w14:textId="77777777" w:rsidR="00CE63EE" w:rsidRDefault="00CE63EE" w:rsidP="00CE63EE">
      <w:pPr>
        <w:rPr>
          <w:rFonts w:asciiTheme="majorHAnsi" w:hAnsiTheme="majorHAnsi"/>
        </w:rPr>
      </w:pPr>
      <w:r>
        <w:rPr>
          <w:rFonts w:asciiTheme="majorHAnsi" w:hAnsiTheme="majorHAnsi"/>
        </w:rPr>
        <w:t>Les recommandations de traitements éditées par les sociétés savantes basent la prise en charge de la gonarthrose sur la combinaison de traitements non pharmacologiques et pharmacologiques (8, 9, 10, 11, 12).</w:t>
      </w:r>
    </w:p>
    <w:p w14:paraId="0382BFCA" w14:textId="77777777" w:rsidR="00CE63EE" w:rsidRDefault="00CE63EE" w:rsidP="00CE63EE">
      <w:pPr>
        <w:rPr>
          <w:rFonts w:asciiTheme="majorHAnsi" w:hAnsiTheme="majorHAnsi"/>
        </w:rPr>
      </w:pPr>
    </w:p>
    <w:p w14:paraId="4A0450B2" w14:textId="77777777" w:rsidR="00CE63EE" w:rsidRPr="00E23486" w:rsidRDefault="00CE63EE" w:rsidP="00CE63EE">
      <w:pPr>
        <w:rPr>
          <w:rFonts w:asciiTheme="majorHAnsi" w:hAnsiTheme="majorHAnsi"/>
        </w:rPr>
      </w:pPr>
    </w:p>
    <w:p w14:paraId="22988BDE" w14:textId="77777777" w:rsidR="00CE63EE" w:rsidRPr="00E23486" w:rsidRDefault="00CE63EE" w:rsidP="00CE63EE">
      <w:pPr>
        <w:rPr>
          <w:rFonts w:asciiTheme="majorHAnsi" w:hAnsiTheme="majorHAnsi"/>
          <w:b/>
        </w:rPr>
      </w:pPr>
      <w:r>
        <w:rPr>
          <w:rFonts w:asciiTheme="majorHAnsi" w:hAnsiTheme="majorHAnsi"/>
          <w:b/>
        </w:rPr>
        <w:t>2</w:t>
      </w:r>
      <w:r w:rsidRPr="00E23486">
        <w:rPr>
          <w:rFonts w:asciiTheme="majorHAnsi" w:hAnsiTheme="majorHAnsi"/>
          <w:b/>
        </w:rPr>
        <w:t xml:space="preserve">. </w:t>
      </w:r>
      <w:r>
        <w:rPr>
          <w:rFonts w:asciiTheme="majorHAnsi" w:hAnsiTheme="majorHAnsi"/>
          <w:b/>
        </w:rPr>
        <w:t xml:space="preserve">À propos </w:t>
      </w:r>
      <w:r w:rsidRPr="00E23486">
        <w:rPr>
          <w:rFonts w:asciiTheme="majorHAnsi" w:hAnsiTheme="majorHAnsi"/>
          <w:b/>
        </w:rPr>
        <w:t>de</w:t>
      </w:r>
      <w:r>
        <w:rPr>
          <w:rFonts w:asciiTheme="majorHAnsi" w:hAnsiTheme="majorHAnsi"/>
          <w:b/>
        </w:rPr>
        <w:t xml:space="preserve">s </w:t>
      </w:r>
      <w:r w:rsidRPr="00E23486">
        <w:rPr>
          <w:rFonts w:asciiTheme="majorHAnsi" w:hAnsiTheme="majorHAnsi"/>
          <w:b/>
        </w:rPr>
        <w:t>méta-analyse</w:t>
      </w:r>
      <w:r>
        <w:rPr>
          <w:rFonts w:asciiTheme="majorHAnsi" w:hAnsiTheme="majorHAnsi"/>
          <w:b/>
        </w:rPr>
        <w:t>s</w:t>
      </w:r>
      <w:r w:rsidRPr="00E23486">
        <w:rPr>
          <w:rFonts w:asciiTheme="majorHAnsi" w:hAnsiTheme="majorHAnsi"/>
          <w:b/>
        </w:rPr>
        <w:t xml:space="preserve"> en général</w:t>
      </w:r>
    </w:p>
    <w:p w14:paraId="513A76E6" w14:textId="77777777" w:rsidR="00CE63EE" w:rsidRPr="00E23486" w:rsidRDefault="00CE63EE" w:rsidP="00CE63EE">
      <w:pPr>
        <w:rPr>
          <w:rFonts w:asciiTheme="majorHAnsi" w:hAnsiTheme="majorHAnsi"/>
        </w:rPr>
      </w:pPr>
    </w:p>
    <w:p w14:paraId="4AF038AF" w14:textId="0FA80365" w:rsidR="00CE63EE" w:rsidRDefault="00CE63EE" w:rsidP="00CE63EE">
      <w:pPr>
        <w:rPr>
          <w:rFonts w:asciiTheme="majorHAnsi" w:hAnsiTheme="majorHAnsi"/>
        </w:rPr>
      </w:pPr>
      <w:r>
        <w:rPr>
          <w:rFonts w:asciiTheme="majorHAnsi" w:hAnsiTheme="majorHAnsi"/>
        </w:rPr>
        <w:t>Les méta-analyses sont des outils utiles par leur capacité à proposer une synthèse des données disponibles dans les essais cliniques réalisés avec une modalité thérapeutique donnée. Mais « la plus jolie fille ne peut do</w:t>
      </w:r>
      <w:r w:rsidR="007B2596">
        <w:rPr>
          <w:rFonts w:asciiTheme="majorHAnsi" w:hAnsiTheme="majorHAnsi"/>
        </w:rPr>
        <w:t xml:space="preserve">nner que ce qu’elle a… », c’est à </w:t>
      </w:r>
      <w:r>
        <w:rPr>
          <w:rFonts w:asciiTheme="majorHAnsi" w:hAnsiTheme="majorHAnsi"/>
        </w:rPr>
        <w:t xml:space="preserve">dire que les méta-analyses sont faites avec des études hétérogènes réalisées à différentes périodes, sur des populations qui ne sont pas identiques et avec des critères d’évaluation et des méthodes statistiques très variables. </w:t>
      </w:r>
    </w:p>
    <w:p w14:paraId="7CBB7753" w14:textId="77777777" w:rsidR="00CE63EE" w:rsidRDefault="00CE63EE" w:rsidP="00CE63EE">
      <w:pPr>
        <w:rPr>
          <w:rFonts w:asciiTheme="majorHAnsi" w:hAnsiTheme="majorHAnsi"/>
        </w:rPr>
      </w:pPr>
    </w:p>
    <w:p w14:paraId="3EDD9E9E" w14:textId="77777777" w:rsidR="00CE63EE" w:rsidRDefault="00CE63EE" w:rsidP="00CE63EE">
      <w:pPr>
        <w:rPr>
          <w:rFonts w:asciiTheme="majorHAnsi" w:hAnsiTheme="majorHAnsi"/>
        </w:rPr>
      </w:pPr>
      <w:r>
        <w:rPr>
          <w:rFonts w:asciiTheme="majorHAnsi" w:hAnsiTheme="majorHAnsi"/>
        </w:rPr>
        <w:t>Ainsi, les méta-analyses des acides hyaluroniques ont été réalisées en prenant curieusement en compte un nombre très variable d’essais cliniques.</w:t>
      </w:r>
    </w:p>
    <w:p w14:paraId="571AE9CA" w14:textId="77777777" w:rsidR="00CE63EE" w:rsidRDefault="00CE63EE" w:rsidP="00CE63EE">
      <w:pPr>
        <w:rPr>
          <w:rFonts w:asciiTheme="majorHAnsi" w:hAnsiTheme="majorHAnsi"/>
        </w:rPr>
      </w:pPr>
      <w:r>
        <w:rPr>
          <w:rFonts w:asciiTheme="majorHAnsi" w:hAnsiTheme="majorHAnsi"/>
        </w:rPr>
        <w:t xml:space="preserve">Ces essais ont eux-mêmes inclus des populations de gonarthrosiques très différentes d’un essai à l’autre. </w:t>
      </w:r>
    </w:p>
    <w:p w14:paraId="3E87D4C8" w14:textId="77777777" w:rsidR="00CE63EE" w:rsidRDefault="00CE63EE" w:rsidP="00CE63EE">
      <w:pPr>
        <w:rPr>
          <w:rFonts w:asciiTheme="majorHAnsi" w:hAnsiTheme="majorHAnsi"/>
        </w:rPr>
      </w:pPr>
      <w:r>
        <w:rPr>
          <w:rFonts w:asciiTheme="majorHAnsi" w:hAnsiTheme="majorHAnsi"/>
        </w:rPr>
        <w:t>Or l’on sait aujourd’hui, et avec de plus en plus de certitude qu’il existe différents phénotypes d’arthrose, et de gonarthrose. Ce qui signifie que les traitements symptomatiques ne sont probablement pas les mêmes pour tous les types d’arthrose et qu’ils doivent au contraire tenir compte du phénotype.</w:t>
      </w:r>
    </w:p>
    <w:p w14:paraId="7BFAD3CB" w14:textId="77777777" w:rsidR="00CE63EE" w:rsidRDefault="00CE63EE" w:rsidP="00CE63EE">
      <w:pPr>
        <w:rPr>
          <w:rFonts w:asciiTheme="majorHAnsi" w:hAnsiTheme="majorHAnsi"/>
        </w:rPr>
      </w:pPr>
      <w:r>
        <w:rPr>
          <w:rFonts w:asciiTheme="majorHAnsi" w:hAnsiTheme="majorHAnsi"/>
        </w:rPr>
        <w:t>Ainsi, les gonarthroses peuvent varier par :</w:t>
      </w:r>
    </w:p>
    <w:p w14:paraId="609C1C76" w14:textId="77777777" w:rsidR="00CE63EE" w:rsidRDefault="00CE63EE" w:rsidP="00CE63EE">
      <w:pPr>
        <w:rPr>
          <w:rFonts w:asciiTheme="majorHAnsi" w:hAnsiTheme="majorHAnsi"/>
        </w:rPr>
      </w:pPr>
      <w:r>
        <w:rPr>
          <w:rFonts w:asciiTheme="majorHAnsi" w:hAnsiTheme="majorHAnsi"/>
        </w:rPr>
        <w:tab/>
        <w:t>Leur localisation : fémoro-tibiale médiale, latérale et/ou fémoro-patellaire</w:t>
      </w:r>
    </w:p>
    <w:p w14:paraId="5FFCD5AC" w14:textId="77777777" w:rsidR="00CE63EE" w:rsidRDefault="00CE63EE" w:rsidP="00CE63EE">
      <w:pPr>
        <w:ind w:firstLine="708"/>
        <w:rPr>
          <w:rFonts w:asciiTheme="majorHAnsi" w:hAnsiTheme="majorHAnsi"/>
        </w:rPr>
      </w:pPr>
      <w:r>
        <w:rPr>
          <w:rFonts w:asciiTheme="majorHAnsi" w:hAnsiTheme="majorHAnsi"/>
        </w:rPr>
        <w:t>Leur caractère uni, bi, ou tricompartimental</w:t>
      </w:r>
    </w:p>
    <w:p w14:paraId="019E1C87" w14:textId="77777777" w:rsidR="00CE63EE" w:rsidRDefault="00CE63EE" w:rsidP="00CE63EE">
      <w:pPr>
        <w:ind w:firstLine="708"/>
        <w:rPr>
          <w:rFonts w:asciiTheme="majorHAnsi" w:hAnsiTheme="majorHAnsi"/>
        </w:rPr>
      </w:pPr>
      <w:r>
        <w:rPr>
          <w:rFonts w:asciiTheme="majorHAnsi" w:hAnsiTheme="majorHAnsi"/>
        </w:rPr>
        <w:t>Leur caractère unilatéral ou bilatéral, symétrique ou asymétrique</w:t>
      </w:r>
    </w:p>
    <w:p w14:paraId="29B90FE1" w14:textId="77777777" w:rsidR="00CE63EE" w:rsidRDefault="00CE63EE" w:rsidP="00CE63EE">
      <w:pPr>
        <w:ind w:firstLine="708"/>
        <w:rPr>
          <w:rFonts w:asciiTheme="majorHAnsi" w:hAnsiTheme="majorHAnsi"/>
        </w:rPr>
      </w:pPr>
      <w:r>
        <w:rPr>
          <w:rFonts w:asciiTheme="majorHAnsi" w:hAnsiTheme="majorHAnsi"/>
        </w:rPr>
        <w:t>Leur association à d’autres localisations arthrosiques (arthrose généralisée) ou pas</w:t>
      </w:r>
    </w:p>
    <w:p w14:paraId="3BA3045B" w14:textId="77777777" w:rsidR="00CE63EE" w:rsidRDefault="00CE63EE" w:rsidP="00CE63EE">
      <w:pPr>
        <w:ind w:left="708"/>
        <w:rPr>
          <w:rFonts w:asciiTheme="majorHAnsi" w:hAnsiTheme="majorHAnsi"/>
        </w:rPr>
      </w:pPr>
      <w:r>
        <w:rPr>
          <w:rFonts w:asciiTheme="majorHAnsi" w:hAnsiTheme="majorHAnsi"/>
        </w:rPr>
        <w:lastRenderedPageBreak/>
        <w:t>Le terrain associé : obésité, trouble statique (varum ou valgum), l’existence d’une laxité ligamentaire locale ou générale</w:t>
      </w:r>
    </w:p>
    <w:p w14:paraId="77EADF53" w14:textId="77777777" w:rsidR="00CE63EE" w:rsidRDefault="00CE63EE" w:rsidP="00CE63EE">
      <w:pPr>
        <w:ind w:left="708"/>
        <w:rPr>
          <w:rFonts w:asciiTheme="majorHAnsi" w:hAnsiTheme="majorHAnsi"/>
        </w:rPr>
      </w:pPr>
      <w:r>
        <w:rPr>
          <w:rFonts w:asciiTheme="majorHAnsi" w:hAnsiTheme="majorHAnsi"/>
        </w:rPr>
        <w:t>Le caractère post-traumatique</w:t>
      </w:r>
    </w:p>
    <w:p w14:paraId="08866798" w14:textId="77777777" w:rsidR="00CE63EE" w:rsidRDefault="00CE63EE" w:rsidP="00CE63EE">
      <w:pPr>
        <w:ind w:left="708"/>
        <w:rPr>
          <w:rFonts w:asciiTheme="majorHAnsi" w:hAnsiTheme="majorHAnsi"/>
        </w:rPr>
      </w:pPr>
      <w:r>
        <w:rPr>
          <w:rFonts w:asciiTheme="majorHAnsi" w:hAnsiTheme="majorHAnsi"/>
        </w:rPr>
        <w:t>L’âge</w:t>
      </w:r>
    </w:p>
    <w:p w14:paraId="2740F030" w14:textId="77777777" w:rsidR="00CE63EE" w:rsidRDefault="00CE63EE" w:rsidP="00CE63EE">
      <w:pPr>
        <w:ind w:left="708"/>
        <w:rPr>
          <w:rFonts w:asciiTheme="majorHAnsi" w:hAnsiTheme="majorHAnsi"/>
        </w:rPr>
      </w:pPr>
      <w:r>
        <w:rPr>
          <w:rFonts w:asciiTheme="majorHAnsi" w:hAnsiTheme="majorHAnsi"/>
        </w:rPr>
        <w:t>La présence d’une chondrocalcinose</w:t>
      </w:r>
    </w:p>
    <w:p w14:paraId="014B1D3C" w14:textId="77777777" w:rsidR="00CE63EE" w:rsidRDefault="00CE63EE" w:rsidP="00CE63EE">
      <w:pPr>
        <w:ind w:left="708"/>
        <w:rPr>
          <w:rFonts w:asciiTheme="majorHAnsi" w:hAnsiTheme="majorHAnsi"/>
        </w:rPr>
      </w:pPr>
      <w:r>
        <w:rPr>
          <w:rFonts w:asciiTheme="majorHAnsi" w:hAnsiTheme="majorHAnsi"/>
        </w:rPr>
        <w:t>Le stade radiologique et les lésions associées (méniscale, ligamentaire, capsulaire, osseuse) etc.</w:t>
      </w:r>
    </w:p>
    <w:p w14:paraId="39AD3853" w14:textId="77777777" w:rsidR="00CE63EE" w:rsidRDefault="00CE63EE" w:rsidP="00CE63EE">
      <w:pPr>
        <w:ind w:left="708"/>
        <w:rPr>
          <w:rFonts w:asciiTheme="majorHAnsi" w:hAnsiTheme="majorHAnsi"/>
        </w:rPr>
      </w:pPr>
      <w:r>
        <w:rPr>
          <w:rFonts w:asciiTheme="majorHAnsi" w:hAnsiTheme="majorHAnsi"/>
        </w:rPr>
        <w:t>Le caractère inflammatoire, notamment par hydarthrose récidivante, etc.</w:t>
      </w:r>
    </w:p>
    <w:p w14:paraId="4556A477" w14:textId="77777777" w:rsidR="00CE63EE" w:rsidRDefault="00CE63EE" w:rsidP="00CE63EE">
      <w:pPr>
        <w:rPr>
          <w:rFonts w:asciiTheme="majorHAnsi" w:hAnsiTheme="majorHAnsi"/>
        </w:rPr>
      </w:pPr>
    </w:p>
    <w:p w14:paraId="27F04625" w14:textId="10E3DF0A" w:rsidR="00CE63EE" w:rsidRDefault="00CE63EE" w:rsidP="00CE63EE">
      <w:pPr>
        <w:rPr>
          <w:rFonts w:asciiTheme="majorHAnsi" w:hAnsiTheme="majorHAnsi"/>
        </w:rPr>
      </w:pPr>
      <w:r>
        <w:rPr>
          <w:rFonts w:asciiTheme="majorHAnsi" w:hAnsiTheme="majorHAnsi"/>
        </w:rPr>
        <w:t>Il est évident que les caractéristiques des patients inclus dans les différents essais cliniques devraient être mieux décrit</w:t>
      </w:r>
      <w:r w:rsidR="002F2A33">
        <w:rPr>
          <w:rFonts w:asciiTheme="majorHAnsi" w:hAnsiTheme="majorHAnsi"/>
        </w:rPr>
        <w:t>e</w:t>
      </w:r>
      <w:r>
        <w:rPr>
          <w:rFonts w:asciiTheme="majorHAnsi" w:hAnsiTheme="majorHAnsi"/>
        </w:rPr>
        <w:t>s et analysé</w:t>
      </w:r>
      <w:r w:rsidR="002F2A33">
        <w:rPr>
          <w:rFonts w:asciiTheme="majorHAnsi" w:hAnsiTheme="majorHAnsi"/>
        </w:rPr>
        <w:t>e</w:t>
      </w:r>
      <w:r>
        <w:rPr>
          <w:rFonts w:asciiTheme="majorHAnsi" w:hAnsiTheme="majorHAnsi"/>
        </w:rPr>
        <w:t>s sur des populations plus homogènes afin de déterminer ceux des patients susceptibles de bénéficier de tel traitement étudié, par exemple d’un traitement par acide hyaluronique intra-articulaire.</w:t>
      </w:r>
    </w:p>
    <w:p w14:paraId="47BFB5E9" w14:textId="77777777" w:rsidR="00CE63EE" w:rsidRDefault="00CE63EE" w:rsidP="00CE63EE">
      <w:pPr>
        <w:rPr>
          <w:rFonts w:asciiTheme="majorHAnsi" w:hAnsiTheme="majorHAnsi"/>
        </w:rPr>
      </w:pPr>
    </w:p>
    <w:p w14:paraId="20B27587" w14:textId="77777777" w:rsidR="00CE63EE" w:rsidRDefault="00CE63EE" w:rsidP="00CE63EE">
      <w:pPr>
        <w:rPr>
          <w:rFonts w:asciiTheme="majorHAnsi" w:hAnsiTheme="majorHAnsi"/>
        </w:rPr>
      </w:pPr>
    </w:p>
    <w:p w14:paraId="79537343" w14:textId="77777777" w:rsidR="00CE63EE" w:rsidRDefault="00CE63EE" w:rsidP="00CE63EE">
      <w:pPr>
        <w:rPr>
          <w:rFonts w:asciiTheme="majorHAnsi" w:hAnsiTheme="majorHAnsi"/>
        </w:rPr>
      </w:pPr>
      <w:r>
        <w:rPr>
          <w:rFonts w:asciiTheme="majorHAnsi" w:hAnsiTheme="majorHAnsi"/>
        </w:rPr>
        <w:t>Les critères d’évaluation de l’efficacité ont été soit la douleur, soit la fonction, soit des indices composites de qualité différente. Les types d’analyses et les méthodologies statistiques employées pour calculer les effets ont été très variables d’un essai à l’autre.</w:t>
      </w:r>
    </w:p>
    <w:p w14:paraId="1179CC86" w14:textId="77777777" w:rsidR="00CE63EE" w:rsidRDefault="00CE63EE" w:rsidP="00CE63EE">
      <w:pPr>
        <w:rPr>
          <w:rFonts w:asciiTheme="majorHAnsi" w:hAnsiTheme="majorHAnsi"/>
        </w:rPr>
      </w:pPr>
    </w:p>
    <w:p w14:paraId="08A7FBD6" w14:textId="1B074B28" w:rsidR="00CE63EE" w:rsidRDefault="00CE63EE" w:rsidP="00CE63EE">
      <w:pPr>
        <w:rPr>
          <w:rFonts w:asciiTheme="majorHAnsi" w:hAnsiTheme="majorHAnsi"/>
        </w:rPr>
      </w:pPr>
      <w:r>
        <w:rPr>
          <w:rFonts w:asciiTheme="majorHAnsi" w:hAnsiTheme="majorHAnsi"/>
        </w:rPr>
        <w:t>Les évaluations principales (end-point) ont été effectuées à des temps eux-mêm</w:t>
      </w:r>
      <w:r w:rsidR="00132DFD">
        <w:rPr>
          <w:rFonts w:asciiTheme="majorHAnsi" w:hAnsiTheme="majorHAnsi"/>
        </w:rPr>
        <w:t>es hétérogènes : 3, 6</w:t>
      </w:r>
      <w:r>
        <w:rPr>
          <w:rFonts w:asciiTheme="majorHAnsi" w:hAnsiTheme="majorHAnsi"/>
        </w:rPr>
        <w:t>, 9 ou 12 mois.</w:t>
      </w:r>
    </w:p>
    <w:p w14:paraId="2F74FB56" w14:textId="77777777" w:rsidR="00CE63EE" w:rsidRDefault="00CE63EE" w:rsidP="00CE63EE">
      <w:pPr>
        <w:rPr>
          <w:rFonts w:asciiTheme="majorHAnsi" w:hAnsiTheme="majorHAnsi"/>
        </w:rPr>
      </w:pPr>
    </w:p>
    <w:p w14:paraId="35DAEDBB" w14:textId="77777777" w:rsidR="00CE63EE" w:rsidRPr="00E23486" w:rsidRDefault="00CE63EE" w:rsidP="00CE63EE">
      <w:pPr>
        <w:rPr>
          <w:rFonts w:asciiTheme="majorHAnsi" w:hAnsiTheme="majorHAnsi"/>
        </w:rPr>
      </w:pPr>
      <w:r>
        <w:rPr>
          <w:rFonts w:asciiTheme="majorHAnsi" w:hAnsiTheme="majorHAnsi"/>
        </w:rPr>
        <w:t>Les schémas thérapeutiques utilisés dans les essais ont été différents : 5 injections avec Hyalgan ou Adant au début, puis 3 injections hebdomadaires avec la plupart des autres préparations, puis en mono-injections avec certaines préparations récentes (Synvisc One, Durolane, Coxarthrum, etc.).</w:t>
      </w:r>
    </w:p>
    <w:p w14:paraId="2ADEF075" w14:textId="77777777" w:rsidR="00CE63EE" w:rsidRDefault="00CE63EE" w:rsidP="00CE63EE">
      <w:pPr>
        <w:rPr>
          <w:rFonts w:asciiTheme="majorHAnsi" w:hAnsiTheme="majorHAnsi"/>
        </w:rPr>
      </w:pPr>
    </w:p>
    <w:p w14:paraId="45BB83F5" w14:textId="77777777" w:rsidR="00CE63EE" w:rsidRDefault="00CE63EE" w:rsidP="00CE63EE">
      <w:pPr>
        <w:rPr>
          <w:rFonts w:asciiTheme="majorHAnsi" w:hAnsiTheme="majorHAnsi"/>
        </w:rPr>
      </w:pPr>
    </w:p>
    <w:p w14:paraId="45C22479" w14:textId="77777777" w:rsidR="00CE63EE" w:rsidRPr="0030184E" w:rsidRDefault="00CE63EE" w:rsidP="00CE63EE">
      <w:pPr>
        <w:rPr>
          <w:rFonts w:asciiTheme="majorHAnsi" w:hAnsiTheme="majorHAnsi"/>
          <w:b/>
        </w:rPr>
      </w:pPr>
      <w:r w:rsidRPr="0030184E">
        <w:rPr>
          <w:rFonts w:asciiTheme="majorHAnsi" w:hAnsiTheme="majorHAnsi"/>
          <w:b/>
        </w:rPr>
        <w:t xml:space="preserve">3. </w:t>
      </w:r>
      <w:r>
        <w:rPr>
          <w:rFonts w:asciiTheme="majorHAnsi" w:hAnsiTheme="majorHAnsi"/>
          <w:b/>
        </w:rPr>
        <w:t>À</w:t>
      </w:r>
      <w:r w:rsidRPr="0030184E">
        <w:rPr>
          <w:rFonts w:asciiTheme="majorHAnsi" w:hAnsiTheme="majorHAnsi"/>
          <w:b/>
        </w:rPr>
        <w:t xml:space="preserve"> propos de l’efficacité des </w:t>
      </w:r>
      <w:r>
        <w:rPr>
          <w:rFonts w:asciiTheme="majorHAnsi" w:hAnsiTheme="majorHAnsi"/>
          <w:b/>
        </w:rPr>
        <w:t>ac</w:t>
      </w:r>
      <w:r w:rsidRPr="0030184E">
        <w:rPr>
          <w:rFonts w:asciiTheme="majorHAnsi" w:hAnsiTheme="majorHAnsi"/>
          <w:b/>
        </w:rPr>
        <w:t xml:space="preserve">ides </w:t>
      </w:r>
      <w:r>
        <w:rPr>
          <w:rFonts w:asciiTheme="majorHAnsi" w:hAnsiTheme="majorHAnsi"/>
          <w:b/>
        </w:rPr>
        <w:t>hy</w:t>
      </w:r>
      <w:r w:rsidRPr="0030184E">
        <w:rPr>
          <w:rFonts w:asciiTheme="majorHAnsi" w:hAnsiTheme="majorHAnsi"/>
          <w:b/>
        </w:rPr>
        <w:t>aluroniques : analyse des méta-analyses réalisées</w:t>
      </w:r>
      <w:r>
        <w:rPr>
          <w:rFonts w:asciiTheme="majorHAnsi" w:hAnsiTheme="majorHAnsi"/>
          <w:b/>
        </w:rPr>
        <w:t xml:space="preserve"> et des études récentes, notamment des études effectuées à la demande de l’ancienne Commission d’Evaluation des Produits et Prestations (CEPP)</w:t>
      </w:r>
      <w:r w:rsidRPr="0030184E">
        <w:rPr>
          <w:rFonts w:asciiTheme="majorHAnsi" w:hAnsiTheme="majorHAnsi"/>
          <w:b/>
        </w:rPr>
        <w:t>.</w:t>
      </w:r>
    </w:p>
    <w:p w14:paraId="43FE00F6" w14:textId="77777777" w:rsidR="00CE63EE" w:rsidRDefault="00CE63EE" w:rsidP="00CE63EE">
      <w:pPr>
        <w:rPr>
          <w:rFonts w:asciiTheme="majorHAnsi" w:hAnsiTheme="majorHAnsi"/>
        </w:rPr>
      </w:pPr>
    </w:p>
    <w:p w14:paraId="0277B064" w14:textId="77777777" w:rsidR="00CE63EE" w:rsidRPr="00D50919" w:rsidRDefault="00CE63EE" w:rsidP="00CE63EE">
      <w:pPr>
        <w:rPr>
          <w:rFonts w:asciiTheme="majorHAnsi" w:hAnsiTheme="majorHAnsi"/>
          <w:b/>
          <w:i/>
        </w:rPr>
      </w:pPr>
      <w:r w:rsidRPr="00D50919">
        <w:rPr>
          <w:rFonts w:asciiTheme="majorHAnsi" w:hAnsiTheme="majorHAnsi"/>
          <w:b/>
          <w:i/>
        </w:rPr>
        <w:t>Méta-analyse des méta-analyses ?</w:t>
      </w:r>
    </w:p>
    <w:p w14:paraId="44B6A9B2" w14:textId="5BA64C78" w:rsidR="00CE63EE" w:rsidRDefault="00CE63EE" w:rsidP="00CE63EE">
      <w:pPr>
        <w:rPr>
          <w:rFonts w:asciiTheme="majorHAnsi" w:hAnsiTheme="majorHAnsi"/>
        </w:rPr>
      </w:pPr>
      <w:r>
        <w:rPr>
          <w:rFonts w:asciiTheme="majorHAnsi" w:hAnsiTheme="majorHAnsi"/>
        </w:rPr>
        <w:t>On dispose de 10 méta-analyses de l’effet des acides hyaluroniques intra-articulaire dans la gonarthrose publiées depuis 2003 : Lo G et al en 2003 (13) ; Wang CT et al en 2004 (14) ; Arrich J et al (15) et Modawal A et al (16) en 2005 ; Bellamy N et al (17) et Medina JM et al (18) en 2006 ; Reichenbach R et al en 2007 (19) méta</w:t>
      </w:r>
      <w:r w:rsidR="00A17FBD">
        <w:rPr>
          <w:rFonts w:asciiTheme="majorHAnsi" w:hAnsiTheme="majorHAnsi"/>
        </w:rPr>
        <w:t>-</w:t>
      </w:r>
      <w:r>
        <w:rPr>
          <w:rFonts w:asciiTheme="majorHAnsi" w:hAnsiTheme="majorHAnsi"/>
        </w:rPr>
        <w:t>analyse des AH versus Hylan G-F20 exclusivement ; Bannuru RR et al en 2011 (20) ; Colen S et al en 2012 (21) ; et enfin Rutjes A et al en 2012 également (22).</w:t>
      </w:r>
    </w:p>
    <w:p w14:paraId="2E98E271" w14:textId="77777777" w:rsidR="00CE63EE" w:rsidRDefault="00CE63EE" w:rsidP="00CE63EE">
      <w:pPr>
        <w:rPr>
          <w:rFonts w:asciiTheme="majorHAnsi" w:hAnsiTheme="majorHAnsi"/>
        </w:rPr>
      </w:pPr>
    </w:p>
    <w:p w14:paraId="3A33CC30" w14:textId="3A0B5784" w:rsidR="00CE63EE" w:rsidRDefault="00CE63EE" w:rsidP="00CE63EE">
      <w:pPr>
        <w:rPr>
          <w:rFonts w:asciiTheme="majorHAnsi" w:hAnsiTheme="majorHAnsi"/>
        </w:rPr>
      </w:pPr>
      <w:r>
        <w:rPr>
          <w:rFonts w:asciiTheme="majorHAnsi" w:hAnsiTheme="majorHAnsi"/>
        </w:rPr>
        <w:t>Si l’on fait un compte exact, une majorité de ces méta</w:t>
      </w:r>
      <w:r w:rsidR="00152081">
        <w:rPr>
          <w:rFonts w:asciiTheme="majorHAnsi" w:hAnsiTheme="majorHAnsi"/>
        </w:rPr>
        <w:t>-</w:t>
      </w:r>
      <w:r>
        <w:rPr>
          <w:rFonts w:asciiTheme="majorHAnsi" w:hAnsiTheme="majorHAnsi"/>
        </w:rPr>
        <w:t xml:space="preserve">analyses est positive, plaidant en faveur </w:t>
      </w:r>
      <w:r w:rsidRPr="002F2A33">
        <w:rPr>
          <w:rFonts w:asciiTheme="majorHAnsi" w:hAnsiTheme="majorHAnsi"/>
        </w:rPr>
        <w:t xml:space="preserve">d’un effet symptomatique modeste, mais certain </w:t>
      </w:r>
      <w:r>
        <w:rPr>
          <w:rFonts w:asciiTheme="majorHAnsi" w:hAnsiTheme="majorHAnsi"/>
        </w:rPr>
        <w:t>des injections d’acide hyaluronique sur la douleur et l’amélioration de la gêne fonctionnelle dans la gonarthrose (Wang, Modawal, Bellamy, Medina, Bannuru, Colen). Lo émet une conclusion intermédiaire. Arrich et Rutjes ont des conclusions négatives. Enfin, Reichenbach conclut que si l’on utilise les acides hyaluroniques dans la gonarthrose, il n’y a pas de place pour l’Hylan G-F 20 en raison d’un mauvais bénéfice/risque par rapport aux AH de plus faible poids moléculaire.</w:t>
      </w:r>
    </w:p>
    <w:p w14:paraId="702D1DAF" w14:textId="77777777" w:rsidR="00CE63EE" w:rsidRDefault="00CE63EE" w:rsidP="00CE63EE">
      <w:pPr>
        <w:rPr>
          <w:rFonts w:asciiTheme="majorHAnsi" w:hAnsiTheme="majorHAnsi"/>
        </w:rPr>
      </w:pPr>
    </w:p>
    <w:p w14:paraId="0DD8B106" w14:textId="4857640E" w:rsidR="00CE63EE" w:rsidRDefault="00CE63EE" w:rsidP="00CE63EE">
      <w:pPr>
        <w:rPr>
          <w:rFonts w:asciiTheme="majorHAnsi" w:hAnsiTheme="majorHAnsi"/>
        </w:rPr>
      </w:pPr>
      <w:r>
        <w:rPr>
          <w:rFonts w:asciiTheme="majorHAnsi" w:hAnsiTheme="majorHAnsi"/>
        </w:rPr>
        <w:t>Deux papiers se sont interrogés sur les raisons de ces résultats contradictoires des méta</w:t>
      </w:r>
      <w:r w:rsidR="00A17FBD">
        <w:rPr>
          <w:rFonts w:asciiTheme="majorHAnsi" w:hAnsiTheme="majorHAnsi"/>
        </w:rPr>
        <w:t>-</w:t>
      </w:r>
      <w:r>
        <w:rPr>
          <w:rFonts w:asciiTheme="majorHAnsi" w:hAnsiTheme="majorHAnsi"/>
        </w:rPr>
        <w:t xml:space="preserve">analyses des AH dans la gonarthrose : Vavken P et al (23) et Campbell J et al (24). Les premiers concluent que les différences dans les méta-analyses relèvent surtout de différences dans l’interprétation des résultats des données publiées. Les seconds </w:t>
      </w:r>
      <w:r w:rsidR="002F2A33">
        <w:rPr>
          <w:rFonts w:asciiTheme="majorHAnsi" w:hAnsiTheme="majorHAnsi"/>
        </w:rPr>
        <w:t>estim</w:t>
      </w:r>
      <w:r>
        <w:rPr>
          <w:rFonts w:asciiTheme="majorHAnsi" w:hAnsiTheme="majorHAnsi"/>
        </w:rPr>
        <w:t>ent en ré</w:t>
      </w:r>
      <w:r w:rsidR="00A17FBD">
        <w:rPr>
          <w:rFonts w:asciiTheme="majorHAnsi" w:hAnsiTheme="majorHAnsi"/>
        </w:rPr>
        <w:t>-</w:t>
      </w:r>
      <w:r>
        <w:rPr>
          <w:rFonts w:asciiTheme="majorHAnsi" w:hAnsiTheme="majorHAnsi"/>
        </w:rPr>
        <w:t xml:space="preserve">analysant les 6 premières méta-analyses que l’on peut conclure malgré les contradictions à un effet bénéfique modeste des injections d’acide hyaluronique sur la douleur et la fonction dans la gonarthrose. Enfin, un papier Français a étudié aussi cette question et conclu </w:t>
      </w:r>
      <w:r w:rsidR="002F2A33">
        <w:rPr>
          <w:rFonts w:asciiTheme="majorHAnsi" w:hAnsiTheme="majorHAnsi"/>
        </w:rPr>
        <w:t>que les méta-analyses différaien</w:t>
      </w:r>
      <w:r>
        <w:rPr>
          <w:rFonts w:asciiTheme="majorHAnsi" w:hAnsiTheme="majorHAnsi"/>
        </w:rPr>
        <w:t>t aussi beaucoup par leur méthodologie et les critères de sélection des études retenues aboutissant à un nombre d’essais inclus dans l’analyse qui varie du simple au double (25).</w:t>
      </w:r>
    </w:p>
    <w:p w14:paraId="4D0BDCC4" w14:textId="77777777" w:rsidR="00CE63EE" w:rsidRDefault="00CE63EE" w:rsidP="00CE63EE">
      <w:pPr>
        <w:rPr>
          <w:rFonts w:asciiTheme="majorHAnsi" w:hAnsiTheme="majorHAnsi"/>
        </w:rPr>
      </w:pPr>
    </w:p>
    <w:p w14:paraId="5B211DC6" w14:textId="77777777" w:rsidR="00CE63EE" w:rsidRDefault="00CE63EE" w:rsidP="00CE63EE">
      <w:pPr>
        <w:rPr>
          <w:rFonts w:asciiTheme="majorHAnsi" w:hAnsiTheme="majorHAnsi"/>
        </w:rPr>
      </w:pPr>
      <w:r>
        <w:rPr>
          <w:rFonts w:asciiTheme="majorHAnsi" w:hAnsiTheme="majorHAnsi"/>
        </w:rPr>
        <w:t>Suite à la charge virulente de Rutjes A et al qui pour prouver un mauvais bénéfice/risque des acides hyaluroniques dans la gonarthrose va jusqu’à hypertrophier les risques du traitement en mettant en avant des effets indésirables généraux non démontrés, et dont le degré d’imputabilité au traitement à l’étude n’est pas cité, ni même pas évoqué, encore moins questionné, Mc Alindon et Bannuru RR se sont posés la question : les injections intra-articulaires d’acide hyaluronique sont-elles si dangereuses dans la gonarthrose (26) ? Et répondent par la négative aussi bien d’après l’analyse de la littérature que l’expérience clinique.</w:t>
      </w:r>
    </w:p>
    <w:p w14:paraId="20801537" w14:textId="77777777" w:rsidR="00CE63EE" w:rsidRDefault="00CE63EE" w:rsidP="00CE63EE">
      <w:pPr>
        <w:rPr>
          <w:rFonts w:asciiTheme="majorHAnsi" w:hAnsiTheme="majorHAnsi"/>
        </w:rPr>
      </w:pPr>
    </w:p>
    <w:p w14:paraId="6CBAA21D" w14:textId="0B2713F2" w:rsidR="00CE63EE" w:rsidRDefault="00CE63EE" w:rsidP="00CE63EE">
      <w:pPr>
        <w:rPr>
          <w:rFonts w:asciiTheme="majorHAnsi" w:hAnsiTheme="majorHAnsi"/>
        </w:rPr>
      </w:pPr>
      <w:r>
        <w:rPr>
          <w:rFonts w:asciiTheme="majorHAnsi" w:hAnsiTheme="majorHAnsi"/>
        </w:rPr>
        <w:t xml:space="preserve">En effet, les essais cliniques où sont rapportés des effets indésirables font tous état des mêmes effets locaux (douleur, réaction inflammatoire éventuelle) et soulignent </w:t>
      </w:r>
      <w:r w:rsidR="002F2A33">
        <w:rPr>
          <w:rFonts w:asciiTheme="majorHAnsi" w:hAnsiTheme="majorHAnsi"/>
        </w:rPr>
        <w:t>tous</w:t>
      </w:r>
      <w:r>
        <w:rPr>
          <w:rFonts w:asciiTheme="majorHAnsi" w:hAnsiTheme="majorHAnsi"/>
        </w:rPr>
        <w:t xml:space="preserve"> la bonne tolérance générale de ces injections. </w:t>
      </w:r>
    </w:p>
    <w:p w14:paraId="4EEA2925" w14:textId="77777777" w:rsidR="00CE63EE" w:rsidRDefault="00CE63EE" w:rsidP="00CE63EE">
      <w:pPr>
        <w:rPr>
          <w:rFonts w:asciiTheme="majorHAnsi" w:hAnsiTheme="majorHAnsi"/>
        </w:rPr>
      </w:pPr>
    </w:p>
    <w:p w14:paraId="47F8E90C" w14:textId="49791E96" w:rsidR="002F2A33" w:rsidRDefault="00CE63EE" w:rsidP="002F2A33">
      <w:pPr>
        <w:rPr>
          <w:rFonts w:asciiTheme="majorHAnsi" w:hAnsiTheme="majorHAnsi"/>
        </w:rPr>
      </w:pPr>
      <w:r>
        <w:rPr>
          <w:rFonts w:asciiTheme="majorHAnsi" w:hAnsiTheme="majorHAnsi"/>
        </w:rPr>
        <w:t>L’expérience clinique confirme cette bonne tolérance.</w:t>
      </w:r>
      <w:r w:rsidR="002F2A33">
        <w:rPr>
          <w:rFonts w:asciiTheme="majorHAnsi" w:hAnsiTheme="majorHAnsi"/>
        </w:rPr>
        <w:t xml:space="preserve"> C’est un traitement qui ne pose aucun problème de toxicité ou iatrogénicité croisée et qui est parfaitement administrable à des patients so</w:t>
      </w:r>
      <w:r w:rsidR="00132DFD">
        <w:rPr>
          <w:rFonts w:asciiTheme="majorHAnsi" w:hAnsiTheme="majorHAnsi"/>
        </w:rPr>
        <w:t>uvent porteurs de nombreuses co</w:t>
      </w:r>
      <w:r w:rsidR="002F2A33">
        <w:rPr>
          <w:rFonts w:asciiTheme="majorHAnsi" w:hAnsiTheme="majorHAnsi"/>
        </w:rPr>
        <w:t>morbidités et en conséquence poly</w:t>
      </w:r>
      <w:r w:rsidR="00152081">
        <w:rPr>
          <w:rFonts w:asciiTheme="majorHAnsi" w:hAnsiTheme="majorHAnsi"/>
        </w:rPr>
        <w:t>-</w:t>
      </w:r>
      <w:r w:rsidR="002F2A33">
        <w:rPr>
          <w:rFonts w:asciiTheme="majorHAnsi" w:hAnsiTheme="majorHAnsi"/>
        </w:rPr>
        <w:t>médicamentés.</w:t>
      </w:r>
    </w:p>
    <w:p w14:paraId="08395EF7" w14:textId="6E4AD5CC" w:rsidR="00CE63EE" w:rsidRDefault="00CE63EE" w:rsidP="00CE63EE">
      <w:pPr>
        <w:rPr>
          <w:rFonts w:asciiTheme="majorHAnsi" w:hAnsiTheme="majorHAnsi"/>
        </w:rPr>
      </w:pPr>
    </w:p>
    <w:p w14:paraId="1BFCDA23" w14:textId="77777777" w:rsidR="00CE63EE" w:rsidRDefault="00CE63EE" w:rsidP="00CE63EE">
      <w:pPr>
        <w:rPr>
          <w:rFonts w:asciiTheme="majorHAnsi" w:hAnsiTheme="majorHAnsi"/>
        </w:rPr>
      </w:pPr>
    </w:p>
    <w:p w14:paraId="4E49313A" w14:textId="77777777" w:rsidR="00CE63EE" w:rsidRDefault="00CE63EE" w:rsidP="00CE63EE">
      <w:pPr>
        <w:rPr>
          <w:rFonts w:asciiTheme="majorHAnsi" w:hAnsiTheme="majorHAnsi"/>
        </w:rPr>
      </w:pPr>
      <w:r>
        <w:rPr>
          <w:rFonts w:asciiTheme="majorHAnsi" w:hAnsiTheme="majorHAnsi"/>
        </w:rPr>
        <w:t>Il n’est même pas sûr, en matière de tolérance locale, que l’on ait assisté à une flambée des cas d’arthrites septiques du genou chez des gonarthrosiques traités, malgré la croissance exponentielle du nombre de patients traités annuellement par acide hyaluronique intra-articulaire (probablement plus de 400 000 l’an dernier). Ni les infectiologues, ni les orthopédistes, ni les services de rhumatologie, notamment ceux ayant une antenne dédiée à la prise en charge des arthrites septiques n’ont signalé d’augmentation du nombre de cas d’arthrite septique. Or c’est bien cet évènement indésirable qui constitue la hantise des rhumatologues et orthopédistes ou MPR injecteurs et non pas une quelconque iatrogénicité générale.</w:t>
      </w:r>
    </w:p>
    <w:p w14:paraId="68F266F8" w14:textId="77777777" w:rsidR="00CE63EE" w:rsidRDefault="00CE63EE" w:rsidP="00CE63EE">
      <w:pPr>
        <w:rPr>
          <w:rFonts w:asciiTheme="majorHAnsi" w:hAnsiTheme="majorHAnsi"/>
        </w:rPr>
      </w:pPr>
    </w:p>
    <w:p w14:paraId="36651D53" w14:textId="77777777" w:rsidR="00CE63EE" w:rsidRPr="00FE6036" w:rsidRDefault="00CE63EE" w:rsidP="00CE63EE">
      <w:pPr>
        <w:rPr>
          <w:rFonts w:asciiTheme="majorHAnsi" w:hAnsiTheme="majorHAnsi"/>
          <w:b/>
          <w:i/>
        </w:rPr>
      </w:pPr>
      <w:r>
        <w:rPr>
          <w:rFonts w:asciiTheme="majorHAnsi" w:hAnsiTheme="majorHAnsi"/>
          <w:b/>
          <w:i/>
        </w:rPr>
        <w:t>É</w:t>
      </w:r>
      <w:r w:rsidRPr="00FE6036">
        <w:rPr>
          <w:rFonts w:asciiTheme="majorHAnsi" w:hAnsiTheme="majorHAnsi"/>
          <w:b/>
          <w:i/>
        </w:rPr>
        <w:t>tudes réalisées à la demande de la CEPP – HAS.</w:t>
      </w:r>
    </w:p>
    <w:p w14:paraId="6022BBD6" w14:textId="77777777" w:rsidR="00CE63EE" w:rsidRDefault="00CE63EE" w:rsidP="00CE63EE">
      <w:pPr>
        <w:rPr>
          <w:rFonts w:asciiTheme="majorHAnsi" w:hAnsiTheme="majorHAnsi"/>
        </w:rPr>
      </w:pPr>
      <w:r>
        <w:rPr>
          <w:rFonts w:asciiTheme="majorHAnsi" w:hAnsiTheme="majorHAnsi"/>
        </w:rPr>
        <w:t>Rappelons que ces études effectuées à la demande de la CEPP, l’ont été pour étayer les demandes de remboursement effectuées en nom propre par les différentes préparations d’AH, et non plus en ligne générique.</w:t>
      </w:r>
    </w:p>
    <w:p w14:paraId="2F8CF3E9" w14:textId="77777777" w:rsidR="00CE63EE" w:rsidRDefault="00CE63EE" w:rsidP="00CE63EE">
      <w:pPr>
        <w:rPr>
          <w:rFonts w:asciiTheme="majorHAnsi" w:hAnsiTheme="majorHAnsi"/>
        </w:rPr>
      </w:pPr>
      <w:r>
        <w:rPr>
          <w:rFonts w:asciiTheme="majorHAnsi" w:hAnsiTheme="majorHAnsi"/>
        </w:rPr>
        <w:lastRenderedPageBreak/>
        <w:t>Ces essais ont fait l’objet d’un document de recommandations proposées par un groupe d’expert qui a travaillé missionné par la CEPP (Dr Catherine Denis/Céline Bourguignon en 2004-2005).</w:t>
      </w:r>
    </w:p>
    <w:p w14:paraId="4D75EC17" w14:textId="77777777" w:rsidR="00CE63EE" w:rsidRDefault="00CE63EE" w:rsidP="00CE63EE">
      <w:pPr>
        <w:rPr>
          <w:rFonts w:asciiTheme="majorHAnsi" w:hAnsiTheme="majorHAnsi"/>
        </w:rPr>
      </w:pPr>
      <w:r>
        <w:rPr>
          <w:rFonts w:asciiTheme="majorHAnsi" w:hAnsiTheme="majorHAnsi"/>
        </w:rPr>
        <w:t>Les recommandations ont, après relecture par les experts du groupe et ceux de la HAS et après présentation à la CEPP en séance plénière en mars 2005 (Pr Jean Maccario, Drs Catherine Denis, Emmanuel Maheu et Mme Cécile Vaugelade), été envoyées aux firmes candidates à l’inscription d’un AH au remboursement courant avril 2005 pour leur fournir un guide de réalisation des études.</w:t>
      </w:r>
    </w:p>
    <w:p w14:paraId="3FEEFBE8" w14:textId="1A2C2CA9" w:rsidR="00CE63EE" w:rsidRDefault="00CE63EE" w:rsidP="00CE63EE">
      <w:pPr>
        <w:rPr>
          <w:rFonts w:asciiTheme="majorHAnsi" w:hAnsiTheme="majorHAnsi"/>
        </w:rPr>
      </w:pPr>
      <w:r>
        <w:rPr>
          <w:rFonts w:asciiTheme="majorHAnsi" w:hAnsiTheme="majorHAnsi"/>
        </w:rPr>
        <w:t xml:space="preserve">Ces recommandations, vu la difficulté de réaliser des études randomisées en double aveugle contre placebo dans un pays ou une dizaine de produits étaient publiquement disponibles, ont été amendées en octobre 2006. Le principe de la possibilité de conduire des </w:t>
      </w:r>
      <w:r w:rsidRPr="008042ED">
        <w:rPr>
          <w:rFonts w:asciiTheme="majorHAnsi" w:hAnsiTheme="majorHAnsi"/>
          <w:b/>
        </w:rPr>
        <w:t>essais randomisés en double insu, en non</w:t>
      </w:r>
      <w:r>
        <w:rPr>
          <w:rFonts w:asciiTheme="majorHAnsi" w:hAnsiTheme="majorHAnsi"/>
          <w:b/>
        </w:rPr>
        <w:t>-</w:t>
      </w:r>
      <w:r w:rsidRPr="008042ED">
        <w:rPr>
          <w:rFonts w:asciiTheme="majorHAnsi" w:hAnsiTheme="majorHAnsi"/>
          <w:b/>
        </w:rPr>
        <w:t>infériorité contre produit de référence</w:t>
      </w:r>
      <w:r>
        <w:rPr>
          <w:rFonts w:asciiTheme="majorHAnsi" w:hAnsiTheme="majorHAnsi"/>
        </w:rPr>
        <w:t xml:space="preserve"> (Hyalgan ou Synvisc) a été acté</w:t>
      </w:r>
      <w:r w:rsidR="002F2A33" w:rsidRPr="002F2A33">
        <w:rPr>
          <w:rFonts w:asciiTheme="majorHAnsi" w:hAnsiTheme="majorHAnsi"/>
        </w:rPr>
        <w:t xml:space="preserve"> </w:t>
      </w:r>
      <w:r w:rsidR="002F2A33">
        <w:rPr>
          <w:rFonts w:asciiTheme="majorHAnsi" w:hAnsiTheme="majorHAnsi"/>
        </w:rPr>
        <w:t>et signifié aux firmes commercialisant des acides hyaluroniques</w:t>
      </w:r>
      <w:r>
        <w:rPr>
          <w:rFonts w:asciiTheme="majorHAnsi" w:hAnsiTheme="majorHAnsi"/>
        </w:rPr>
        <w:t>.</w:t>
      </w:r>
    </w:p>
    <w:p w14:paraId="4E42CD0B" w14:textId="77777777" w:rsidR="00CE63EE" w:rsidRDefault="00CE63EE" w:rsidP="00CE63EE">
      <w:pPr>
        <w:rPr>
          <w:rFonts w:asciiTheme="majorHAnsi" w:hAnsiTheme="majorHAnsi"/>
        </w:rPr>
      </w:pPr>
    </w:p>
    <w:p w14:paraId="4CC33C8D" w14:textId="1EF580ED" w:rsidR="002F2A33" w:rsidRDefault="00CE63EE" w:rsidP="00CE63EE">
      <w:pPr>
        <w:rPr>
          <w:rFonts w:asciiTheme="majorHAnsi" w:hAnsiTheme="majorHAnsi"/>
        </w:rPr>
      </w:pPr>
      <w:r>
        <w:rPr>
          <w:rFonts w:asciiTheme="majorHAnsi" w:hAnsiTheme="majorHAnsi"/>
        </w:rPr>
        <w:t xml:space="preserve">En résumé, toutes les études déposées à la HAS ont rempli leur contrat : la démonstration de la non-infériorité entre le produit étudié et soit le Synvisc, soit </w:t>
      </w:r>
      <w:r w:rsidR="00152081">
        <w:rPr>
          <w:rFonts w:asciiTheme="majorHAnsi" w:hAnsiTheme="majorHAnsi"/>
        </w:rPr>
        <w:t>le Hyalgan sur les critères pré</w:t>
      </w:r>
      <w:r>
        <w:rPr>
          <w:rFonts w:asciiTheme="majorHAnsi" w:hAnsiTheme="majorHAnsi"/>
        </w:rPr>
        <w:t xml:space="preserve">sélectionnés (douleur sur EVA ou fonction appréciée par l’indice de </w:t>
      </w:r>
      <w:r w:rsidR="002F2A33">
        <w:rPr>
          <w:rFonts w:asciiTheme="majorHAnsi" w:hAnsiTheme="majorHAnsi"/>
        </w:rPr>
        <w:t>Lequesne ou le WOMAC fonction).</w:t>
      </w:r>
    </w:p>
    <w:p w14:paraId="73C1100F" w14:textId="78F6BB85" w:rsidR="00CE63EE" w:rsidRDefault="00CE63EE" w:rsidP="00CE63EE">
      <w:pPr>
        <w:rPr>
          <w:rFonts w:asciiTheme="majorHAnsi" w:hAnsiTheme="majorHAnsi"/>
        </w:rPr>
      </w:pPr>
      <w:r>
        <w:rPr>
          <w:rFonts w:asciiTheme="majorHAnsi" w:hAnsiTheme="majorHAnsi"/>
        </w:rPr>
        <w:t>Il y en a cinq : Arthrum vs Hyalgan ; Structovial vs Synvisc ; Go-On vs Hyalgan ; Sinovial vs Synvisc et enfin Osténil vs Synvisc.</w:t>
      </w:r>
    </w:p>
    <w:p w14:paraId="50921353" w14:textId="77777777" w:rsidR="00CE63EE" w:rsidRDefault="00CE63EE" w:rsidP="00CE63EE">
      <w:pPr>
        <w:rPr>
          <w:rFonts w:asciiTheme="majorHAnsi" w:hAnsiTheme="majorHAnsi"/>
        </w:rPr>
      </w:pPr>
    </w:p>
    <w:p w14:paraId="0EFC2502" w14:textId="77777777" w:rsidR="00CE63EE" w:rsidRDefault="00CE63EE" w:rsidP="00CE63EE">
      <w:pPr>
        <w:rPr>
          <w:rFonts w:asciiTheme="majorHAnsi" w:hAnsiTheme="majorHAnsi"/>
        </w:rPr>
      </w:pPr>
      <w:r>
        <w:rPr>
          <w:rFonts w:asciiTheme="majorHAnsi" w:hAnsiTheme="majorHAnsi"/>
        </w:rPr>
        <w:t>Au-delà de la preuve de non-infériorité acquise par toutes ces préparations, il est intéressant de se pencher dans le détail sur les résultats. De plus en plus, dans les affections cliniques chroniques comme l’est l’arthrose et s’agissant de critères d’appréciation subjectifs comme le sont la douleur et l’évaluation de la gêne fonctionnelle, on en vient à chercher à analyser les résultats des essais thérapeutiques à l’échelon du patient et non plus en moyenne de variation d’un critère quantitatif sur une durée x.</w:t>
      </w:r>
    </w:p>
    <w:p w14:paraId="7A2466A2" w14:textId="77777777" w:rsidR="00CE63EE" w:rsidRDefault="00CE63EE" w:rsidP="00CE63EE">
      <w:pPr>
        <w:rPr>
          <w:rFonts w:asciiTheme="majorHAnsi" w:hAnsiTheme="majorHAnsi"/>
        </w:rPr>
      </w:pPr>
      <w:r>
        <w:rPr>
          <w:rFonts w:asciiTheme="majorHAnsi" w:hAnsiTheme="majorHAnsi"/>
        </w:rPr>
        <w:t>En effet, il est plus parlant pour le clinicien comme pour les malades de rapporter un % de patients répondeurs à un traitement plutôt qu’une variation moyenne de douleur ou une différence versus placebo en moyenne de 10 mm sur une échelle visuelle analogique.</w:t>
      </w:r>
    </w:p>
    <w:p w14:paraId="61825BCC" w14:textId="77777777" w:rsidR="00CE63EE" w:rsidRDefault="00CE63EE" w:rsidP="00CE63EE">
      <w:pPr>
        <w:rPr>
          <w:rFonts w:asciiTheme="majorHAnsi" w:hAnsiTheme="majorHAnsi"/>
        </w:rPr>
      </w:pPr>
    </w:p>
    <w:p w14:paraId="61088031" w14:textId="77777777" w:rsidR="00CE63EE" w:rsidRDefault="00CE63EE" w:rsidP="00CE63EE">
      <w:pPr>
        <w:rPr>
          <w:rFonts w:asciiTheme="majorHAnsi" w:hAnsiTheme="majorHAnsi"/>
        </w:rPr>
      </w:pPr>
      <w:r>
        <w:rPr>
          <w:rFonts w:asciiTheme="majorHAnsi" w:hAnsiTheme="majorHAnsi"/>
        </w:rPr>
        <w:t>C’est ainsi qu’ont été développés des critères de réponse dans l’arthrose : les critères OMERACT-OARSI, basés sur la combinaison d’une amélioration de la douleur et de la gêne fonctionnelle d’une certaine amplitude qui définit le « répondeur » ; les critères PASS (Patient Acceptable Symptom State, qui peut se définir comme le « je vais bien ») et MCII (Minimum clinically important improvement qui peut se traduire par le « je vais mieux ») (27). Fournir les résultats des essais thérapeutiques en termes de taux de patients répondeurs a une évidente pertinence clinique pour la pratique.</w:t>
      </w:r>
    </w:p>
    <w:p w14:paraId="1E2AC4E6" w14:textId="77777777" w:rsidR="00CE63EE" w:rsidRDefault="00CE63EE" w:rsidP="00CE63EE">
      <w:pPr>
        <w:rPr>
          <w:rFonts w:asciiTheme="majorHAnsi" w:hAnsiTheme="majorHAnsi"/>
        </w:rPr>
      </w:pPr>
    </w:p>
    <w:p w14:paraId="69D07103" w14:textId="54CB5FB0" w:rsidR="00CE63EE" w:rsidRDefault="002F2A33" w:rsidP="00CE63EE">
      <w:pPr>
        <w:rPr>
          <w:rFonts w:asciiTheme="majorHAnsi" w:hAnsiTheme="majorHAnsi"/>
        </w:rPr>
      </w:pPr>
      <w:r>
        <w:rPr>
          <w:rFonts w:asciiTheme="majorHAnsi" w:hAnsiTheme="majorHAnsi"/>
        </w:rPr>
        <w:t>Si</w:t>
      </w:r>
      <w:r w:rsidR="00CE63EE">
        <w:rPr>
          <w:rFonts w:asciiTheme="majorHAnsi" w:hAnsiTheme="majorHAnsi"/>
        </w:rPr>
        <w:t xml:space="preserve"> l’on prend les trois essais de non-infériorité réalisés dans le cadre des demandes de l’ancienne CEPP-HAS, et publiés avec en critères secondaires ces analyses des taux de répondeurs selon les différentes définitions, on s’aperçoit qu’environ les deux tiers des  patients ayant reçu les différentes préparations d’acide hyaluronique sont répondeurs au traitement. Les tableaux ci-dessous récapitulent pour les essais GO-ON vs Hyalgan, Structovial vs Synvisc et Sinovial vs Synvisc les taux de patients répondeurs selon la définition choisie.</w:t>
      </w:r>
    </w:p>
    <w:p w14:paraId="7C8C6889" w14:textId="77777777" w:rsidR="00CE63EE" w:rsidRDefault="00CE63EE" w:rsidP="00CE63EE">
      <w:pPr>
        <w:rPr>
          <w:rFonts w:asciiTheme="majorHAnsi" w:hAnsiTheme="majorHAnsi"/>
        </w:rPr>
      </w:pPr>
    </w:p>
    <w:tbl>
      <w:tblPr>
        <w:tblStyle w:val="Tramemoyenne1-Accent1"/>
        <w:tblW w:w="9356" w:type="dxa"/>
        <w:tblInd w:w="108" w:type="dxa"/>
        <w:tblLook w:val="04A0" w:firstRow="1" w:lastRow="0" w:firstColumn="1" w:lastColumn="0" w:noHBand="0" w:noVBand="1"/>
      </w:tblPr>
      <w:tblGrid>
        <w:gridCol w:w="4536"/>
        <w:gridCol w:w="1560"/>
        <w:gridCol w:w="1701"/>
        <w:gridCol w:w="1559"/>
      </w:tblGrid>
      <w:tr w:rsidR="00CE63EE" w:rsidRPr="002F2A33" w14:paraId="6B8AFAEA" w14:textId="77777777" w:rsidTr="00CE63EE">
        <w:trPr>
          <w:cnfStyle w:val="100000000000" w:firstRow="1" w:lastRow="0" w:firstColumn="0" w:lastColumn="0" w:oddVBand="0" w:evenVBand="0" w:oddHBand="0"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4536" w:type="dxa"/>
          </w:tcPr>
          <w:p w14:paraId="319357EA" w14:textId="77777777" w:rsidR="00CE63EE" w:rsidRPr="002F2A33" w:rsidRDefault="00CE63EE">
            <w:pPr>
              <w:pStyle w:val="NormalWeb"/>
              <w:spacing w:before="0" w:beforeAutospacing="0" w:after="0" w:afterAutospacing="0"/>
              <w:rPr>
                <w:rFonts w:asciiTheme="majorHAnsi" w:hAnsiTheme="majorHAnsi" w:cs="Arial"/>
                <w:color w:val="FFFF00"/>
                <w:sz w:val="22"/>
                <w:szCs w:val="22"/>
              </w:rPr>
            </w:pPr>
            <w:r w:rsidRPr="002F2A33">
              <w:rPr>
                <w:rFonts w:asciiTheme="majorHAnsi" w:hAnsiTheme="majorHAnsi" w:cs="Arial"/>
                <w:bCs w:val="0"/>
                <w:color w:val="FFFF00"/>
                <w:kern w:val="24"/>
                <w:sz w:val="22"/>
                <w:szCs w:val="22"/>
              </w:rPr>
              <w:lastRenderedPageBreak/>
              <w:t>Critère</w:t>
            </w:r>
          </w:p>
        </w:tc>
        <w:tc>
          <w:tcPr>
            <w:tcW w:w="1560" w:type="dxa"/>
          </w:tcPr>
          <w:p w14:paraId="7CA0877E" w14:textId="77777777" w:rsidR="00CE63EE" w:rsidRPr="002F2A33" w:rsidRDefault="00CE63EE">
            <w:pPr>
              <w:pStyle w:val="NormalWeb"/>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Theme="majorHAnsi" w:hAnsiTheme="majorHAnsi" w:cs="Arial"/>
                <w:bCs w:val="0"/>
                <w:color w:val="FFFF00"/>
                <w:kern w:val="24"/>
                <w:sz w:val="22"/>
                <w:szCs w:val="22"/>
              </w:rPr>
            </w:pPr>
            <w:r w:rsidRPr="002F2A33">
              <w:rPr>
                <w:rFonts w:asciiTheme="majorHAnsi" w:hAnsiTheme="majorHAnsi" w:cs="Arial"/>
                <w:bCs w:val="0"/>
                <w:color w:val="FFFF00"/>
                <w:kern w:val="24"/>
                <w:sz w:val="22"/>
                <w:szCs w:val="22"/>
              </w:rPr>
              <w:t xml:space="preserve">GO-ON </w:t>
            </w:r>
          </w:p>
          <w:p w14:paraId="357AE4A9" w14:textId="77777777" w:rsidR="00CE63EE" w:rsidRPr="002F2A33" w:rsidRDefault="00CE63EE">
            <w:pPr>
              <w:pStyle w:val="NormalWeb"/>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Theme="majorHAnsi" w:hAnsiTheme="majorHAnsi" w:cs="Arial"/>
                <w:color w:val="FFFF00"/>
                <w:sz w:val="22"/>
                <w:szCs w:val="22"/>
              </w:rPr>
            </w:pPr>
            <w:r w:rsidRPr="002F2A33">
              <w:rPr>
                <w:rFonts w:asciiTheme="majorHAnsi" w:hAnsiTheme="majorHAnsi" w:cs="Arial"/>
                <w:bCs w:val="0"/>
                <w:color w:val="FFFF00"/>
                <w:kern w:val="24"/>
                <w:sz w:val="22"/>
                <w:szCs w:val="22"/>
              </w:rPr>
              <w:t>N = 171</w:t>
            </w:r>
          </w:p>
        </w:tc>
        <w:tc>
          <w:tcPr>
            <w:tcW w:w="1701" w:type="dxa"/>
          </w:tcPr>
          <w:p w14:paraId="46A2F2D9" w14:textId="77777777" w:rsidR="00CE63EE" w:rsidRPr="002F2A33" w:rsidRDefault="00CE63EE">
            <w:pPr>
              <w:pStyle w:val="NormalWeb"/>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Theme="majorHAnsi" w:hAnsiTheme="majorHAnsi" w:cs="Arial"/>
                <w:bCs w:val="0"/>
                <w:color w:val="FFFF00"/>
                <w:kern w:val="24"/>
                <w:sz w:val="22"/>
                <w:szCs w:val="22"/>
              </w:rPr>
            </w:pPr>
            <w:r w:rsidRPr="002F2A33">
              <w:rPr>
                <w:rFonts w:asciiTheme="majorHAnsi" w:hAnsiTheme="majorHAnsi" w:cs="Arial"/>
                <w:bCs w:val="0"/>
                <w:color w:val="FFFF00"/>
                <w:kern w:val="24"/>
                <w:sz w:val="22"/>
                <w:szCs w:val="22"/>
              </w:rPr>
              <w:t xml:space="preserve">Hyalgan </w:t>
            </w:r>
          </w:p>
          <w:p w14:paraId="744B454C" w14:textId="77777777" w:rsidR="00CE63EE" w:rsidRPr="002F2A33" w:rsidRDefault="00CE63EE">
            <w:pPr>
              <w:pStyle w:val="NormalWeb"/>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Theme="majorHAnsi" w:hAnsiTheme="majorHAnsi" w:cs="Arial"/>
                <w:color w:val="FFFF00"/>
                <w:sz w:val="22"/>
                <w:szCs w:val="22"/>
              </w:rPr>
            </w:pPr>
            <w:r w:rsidRPr="002F2A33">
              <w:rPr>
                <w:rFonts w:asciiTheme="majorHAnsi" w:hAnsiTheme="majorHAnsi" w:cs="Arial"/>
                <w:bCs w:val="0"/>
                <w:color w:val="FFFF00"/>
                <w:kern w:val="24"/>
                <w:sz w:val="22"/>
                <w:szCs w:val="22"/>
              </w:rPr>
              <w:t>N = 172</w:t>
            </w:r>
          </w:p>
        </w:tc>
        <w:tc>
          <w:tcPr>
            <w:tcW w:w="1559" w:type="dxa"/>
          </w:tcPr>
          <w:p w14:paraId="06AE65FB" w14:textId="77777777" w:rsidR="00CE63EE" w:rsidRPr="002F2A33" w:rsidRDefault="00CE63EE">
            <w:pPr>
              <w:pStyle w:val="NormalWeb"/>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Theme="majorHAnsi" w:hAnsiTheme="majorHAnsi" w:cs="Arial"/>
                <w:color w:val="FFFF00"/>
                <w:sz w:val="22"/>
                <w:szCs w:val="22"/>
              </w:rPr>
            </w:pPr>
            <w:r w:rsidRPr="002F2A33">
              <w:rPr>
                <w:rFonts w:asciiTheme="majorHAnsi" w:hAnsiTheme="majorHAnsi" w:cs="Arial"/>
                <w:bCs w:val="0"/>
                <w:color w:val="FFFF00"/>
                <w:kern w:val="24"/>
                <w:sz w:val="22"/>
                <w:szCs w:val="22"/>
              </w:rPr>
              <w:t>P</w:t>
            </w:r>
          </w:p>
        </w:tc>
      </w:tr>
      <w:tr w:rsidR="00CE63EE" w:rsidRPr="002F2A33" w14:paraId="182F14E2" w14:textId="77777777" w:rsidTr="00CE63EE">
        <w:trPr>
          <w:cnfStyle w:val="000000100000" w:firstRow="0" w:lastRow="0" w:firstColumn="0" w:lastColumn="0" w:oddVBand="0" w:evenVBand="0" w:oddHBand="1"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4536" w:type="dxa"/>
          </w:tcPr>
          <w:p w14:paraId="4DC8CDB5" w14:textId="77777777" w:rsidR="00CE63EE" w:rsidRPr="002F2A33" w:rsidRDefault="00CE63EE">
            <w:pPr>
              <w:pStyle w:val="NormalWeb"/>
              <w:spacing w:before="0" w:beforeAutospacing="0" w:after="0" w:afterAutospacing="0"/>
              <w:rPr>
                <w:rFonts w:asciiTheme="majorHAnsi" w:hAnsiTheme="majorHAnsi" w:cs="Arial"/>
                <w:sz w:val="22"/>
                <w:szCs w:val="22"/>
              </w:rPr>
            </w:pPr>
            <w:r w:rsidRPr="002F2A33">
              <w:rPr>
                <w:rFonts w:asciiTheme="majorHAnsi" w:hAnsiTheme="majorHAnsi" w:cs="Arial"/>
                <w:bCs w:val="0"/>
                <w:color w:val="000000" w:themeColor="text1"/>
                <w:kern w:val="24"/>
                <w:sz w:val="22"/>
                <w:szCs w:val="22"/>
              </w:rPr>
              <w:t>OARSI-OMERACT</w:t>
            </w:r>
          </w:p>
        </w:tc>
        <w:tc>
          <w:tcPr>
            <w:tcW w:w="1560" w:type="dxa"/>
          </w:tcPr>
          <w:p w14:paraId="2B886568" w14:textId="77777777" w:rsidR="00CE63EE" w:rsidRPr="002F2A33" w:rsidRDefault="00CE63EE">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rPr>
            </w:pPr>
            <w:r w:rsidRPr="002F2A33">
              <w:rPr>
                <w:rFonts w:asciiTheme="majorHAnsi" w:hAnsiTheme="majorHAnsi" w:cs="Arial"/>
                <w:bCs/>
                <w:color w:val="000000" w:themeColor="text1"/>
                <w:kern w:val="24"/>
                <w:sz w:val="22"/>
                <w:szCs w:val="22"/>
              </w:rPr>
              <w:t>81.9 %</w:t>
            </w:r>
          </w:p>
        </w:tc>
        <w:tc>
          <w:tcPr>
            <w:tcW w:w="1701" w:type="dxa"/>
          </w:tcPr>
          <w:p w14:paraId="2AA719A7" w14:textId="77777777" w:rsidR="00CE63EE" w:rsidRPr="002F2A33" w:rsidRDefault="00CE63EE">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rPr>
            </w:pPr>
            <w:r w:rsidRPr="002F2A33">
              <w:rPr>
                <w:rFonts w:asciiTheme="majorHAnsi" w:hAnsiTheme="majorHAnsi" w:cs="Arial"/>
                <w:bCs/>
                <w:color w:val="000000" w:themeColor="text1"/>
                <w:kern w:val="24"/>
                <w:sz w:val="22"/>
                <w:szCs w:val="22"/>
              </w:rPr>
              <w:t>65.7 %</w:t>
            </w:r>
          </w:p>
        </w:tc>
        <w:tc>
          <w:tcPr>
            <w:tcW w:w="1559" w:type="dxa"/>
          </w:tcPr>
          <w:p w14:paraId="678FF175" w14:textId="77777777" w:rsidR="00CE63EE" w:rsidRPr="002F2A33" w:rsidRDefault="00CE63EE">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rPr>
            </w:pPr>
            <w:r w:rsidRPr="002F2A33">
              <w:rPr>
                <w:rFonts w:asciiTheme="majorHAnsi" w:hAnsiTheme="majorHAnsi" w:cs="Arial"/>
                <w:bCs/>
                <w:color w:val="000000" w:themeColor="text1"/>
                <w:kern w:val="24"/>
                <w:sz w:val="22"/>
                <w:szCs w:val="22"/>
              </w:rPr>
              <w:t>0.0007</w:t>
            </w:r>
          </w:p>
        </w:tc>
      </w:tr>
      <w:tr w:rsidR="00CE63EE" w:rsidRPr="002F2A33" w14:paraId="6E851999" w14:textId="77777777" w:rsidTr="00CE63EE">
        <w:trPr>
          <w:cnfStyle w:val="000000010000" w:firstRow="0" w:lastRow="0" w:firstColumn="0" w:lastColumn="0" w:oddVBand="0" w:evenVBand="0" w:oddHBand="0" w:evenHBand="1"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4536" w:type="dxa"/>
          </w:tcPr>
          <w:p w14:paraId="6140F3D9" w14:textId="77777777" w:rsidR="00CE63EE" w:rsidRPr="002F2A33" w:rsidRDefault="00CE63EE">
            <w:pPr>
              <w:pStyle w:val="NormalWeb"/>
              <w:spacing w:before="0" w:beforeAutospacing="0" w:after="0" w:afterAutospacing="0"/>
              <w:rPr>
                <w:rFonts w:asciiTheme="majorHAnsi" w:hAnsiTheme="majorHAnsi" w:cs="Arial"/>
                <w:sz w:val="22"/>
                <w:szCs w:val="22"/>
              </w:rPr>
            </w:pPr>
            <w:r w:rsidRPr="002F2A33">
              <w:rPr>
                <w:rFonts w:asciiTheme="majorHAnsi" w:hAnsiTheme="majorHAnsi" w:cs="Arial"/>
                <w:color w:val="000000" w:themeColor="text1"/>
                <w:kern w:val="24"/>
                <w:sz w:val="22"/>
                <w:szCs w:val="22"/>
              </w:rPr>
              <w:t>MCII EVA douleur (valeur absolue)</w:t>
            </w:r>
          </w:p>
        </w:tc>
        <w:tc>
          <w:tcPr>
            <w:tcW w:w="1560" w:type="dxa"/>
          </w:tcPr>
          <w:p w14:paraId="13D7AC31" w14:textId="77777777" w:rsidR="00CE63EE" w:rsidRPr="002F2A33" w:rsidRDefault="00CE63EE">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22"/>
                <w:szCs w:val="22"/>
              </w:rPr>
            </w:pPr>
            <w:r w:rsidRPr="002F2A33">
              <w:rPr>
                <w:rFonts w:asciiTheme="majorHAnsi" w:hAnsiTheme="majorHAnsi" w:cs="Arial"/>
                <w:color w:val="000000" w:themeColor="text1"/>
                <w:kern w:val="24"/>
                <w:sz w:val="22"/>
                <w:szCs w:val="22"/>
              </w:rPr>
              <w:t>79.5 %</w:t>
            </w:r>
          </w:p>
        </w:tc>
        <w:tc>
          <w:tcPr>
            <w:tcW w:w="1701" w:type="dxa"/>
          </w:tcPr>
          <w:p w14:paraId="53F59DE7" w14:textId="77777777" w:rsidR="00CE63EE" w:rsidRPr="002F2A33" w:rsidRDefault="00CE63EE">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22"/>
                <w:szCs w:val="22"/>
              </w:rPr>
            </w:pPr>
            <w:r w:rsidRPr="002F2A33">
              <w:rPr>
                <w:rFonts w:asciiTheme="majorHAnsi" w:hAnsiTheme="majorHAnsi" w:cs="Arial"/>
                <w:color w:val="000000" w:themeColor="text1"/>
                <w:kern w:val="24"/>
                <w:sz w:val="22"/>
                <w:szCs w:val="22"/>
              </w:rPr>
              <w:t>63.9 %</w:t>
            </w:r>
          </w:p>
        </w:tc>
        <w:tc>
          <w:tcPr>
            <w:tcW w:w="1559" w:type="dxa"/>
          </w:tcPr>
          <w:p w14:paraId="10B79969" w14:textId="77777777" w:rsidR="00CE63EE" w:rsidRPr="002F2A33" w:rsidRDefault="00CE63EE">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22"/>
                <w:szCs w:val="22"/>
              </w:rPr>
            </w:pPr>
            <w:r w:rsidRPr="002F2A33">
              <w:rPr>
                <w:rFonts w:asciiTheme="majorHAnsi" w:hAnsiTheme="majorHAnsi" w:cs="Arial"/>
                <w:color w:val="000000" w:themeColor="text1"/>
                <w:kern w:val="24"/>
                <w:sz w:val="22"/>
                <w:szCs w:val="22"/>
              </w:rPr>
              <w:t>0.001</w:t>
            </w:r>
          </w:p>
        </w:tc>
      </w:tr>
      <w:tr w:rsidR="00CE63EE" w:rsidRPr="002F2A33" w14:paraId="1ADF2695" w14:textId="77777777" w:rsidTr="00CE63EE">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4536" w:type="dxa"/>
          </w:tcPr>
          <w:p w14:paraId="0333F53A" w14:textId="77777777" w:rsidR="00CE63EE" w:rsidRPr="002F2A33" w:rsidRDefault="00CE63EE">
            <w:pPr>
              <w:pStyle w:val="NormalWeb"/>
              <w:spacing w:before="0" w:beforeAutospacing="0" w:after="0" w:afterAutospacing="0"/>
              <w:rPr>
                <w:rFonts w:asciiTheme="majorHAnsi" w:hAnsiTheme="majorHAnsi" w:cs="Arial"/>
                <w:sz w:val="22"/>
                <w:szCs w:val="22"/>
              </w:rPr>
            </w:pPr>
            <w:r w:rsidRPr="002F2A33">
              <w:rPr>
                <w:rFonts w:asciiTheme="majorHAnsi" w:hAnsiTheme="majorHAnsi" w:cs="Arial"/>
                <w:color w:val="000000" w:themeColor="text1"/>
                <w:kern w:val="24"/>
                <w:sz w:val="22"/>
                <w:szCs w:val="22"/>
              </w:rPr>
              <w:t>MCII EVA douleur (% de variation)</w:t>
            </w:r>
          </w:p>
        </w:tc>
        <w:tc>
          <w:tcPr>
            <w:tcW w:w="1560" w:type="dxa"/>
          </w:tcPr>
          <w:p w14:paraId="7B53623F" w14:textId="77777777" w:rsidR="00CE63EE" w:rsidRPr="002F2A33" w:rsidRDefault="00CE63EE">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rPr>
            </w:pPr>
            <w:r w:rsidRPr="002F2A33">
              <w:rPr>
                <w:rFonts w:asciiTheme="majorHAnsi" w:hAnsiTheme="majorHAnsi" w:cs="Arial"/>
                <w:color w:val="000000" w:themeColor="text1"/>
                <w:kern w:val="24"/>
                <w:sz w:val="22"/>
                <w:szCs w:val="22"/>
              </w:rPr>
              <w:t>71.3 %</w:t>
            </w:r>
          </w:p>
        </w:tc>
        <w:tc>
          <w:tcPr>
            <w:tcW w:w="1701" w:type="dxa"/>
          </w:tcPr>
          <w:p w14:paraId="48ED0339" w14:textId="77777777" w:rsidR="00CE63EE" w:rsidRPr="002F2A33" w:rsidRDefault="00CE63EE">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rPr>
            </w:pPr>
            <w:r w:rsidRPr="002F2A33">
              <w:rPr>
                <w:rFonts w:asciiTheme="majorHAnsi" w:hAnsiTheme="majorHAnsi" w:cs="Arial"/>
                <w:color w:val="000000" w:themeColor="text1"/>
                <w:kern w:val="24"/>
                <w:sz w:val="22"/>
                <w:szCs w:val="22"/>
              </w:rPr>
              <w:t>57 %</w:t>
            </w:r>
          </w:p>
        </w:tc>
        <w:tc>
          <w:tcPr>
            <w:tcW w:w="1559" w:type="dxa"/>
          </w:tcPr>
          <w:p w14:paraId="47A187AF" w14:textId="77777777" w:rsidR="00CE63EE" w:rsidRPr="002F2A33" w:rsidRDefault="00CE63EE">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rPr>
            </w:pPr>
            <w:r w:rsidRPr="002F2A33">
              <w:rPr>
                <w:rFonts w:asciiTheme="majorHAnsi" w:hAnsiTheme="majorHAnsi" w:cs="Arial"/>
                <w:color w:val="000000" w:themeColor="text1"/>
                <w:kern w:val="24"/>
                <w:sz w:val="22"/>
                <w:szCs w:val="22"/>
              </w:rPr>
              <w:t>0.006</w:t>
            </w:r>
          </w:p>
        </w:tc>
      </w:tr>
      <w:tr w:rsidR="00CE63EE" w:rsidRPr="002F2A33" w14:paraId="5E6445B8" w14:textId="77777777" w:rsidTr="00CE63EE">
        <w:trPr>
          <w:cnfStyle w:val="000000010000" w:firstRow="0" w:lastRow="0" w:firstColumn="0" w:lastColumn="0" w:oddVBand="0" w:evenVBand="0" w:oddHBand="0" w:evenHBand="1" w:firstRowFirstColumn="0" w:firstRowLastColumn="0" w:lastRowFirstColumn="0" w:lastRowLastColumn="0"/>
          <w:trHeight w:val="534"/>
        </w:trPr>
        <w:tc>
          <w:tcPr>
            <w:cnfStyle w:val="001000000000" w:firstRow="0" w:lastRow="0" w:firstColumn="1" w:lastColumn="0" w:oddVBand="0" w:evenVBand="0" w:oddHBand="0" w:evenHBand="0" w:firstRowFirstColumn="0" w:firstRowLastColumn="0" w:lastRowFirstColumn="0" w:lastRowLastColumn="0"/>
            <w:tcW w:w="4536" w:type="dxa"/>
          </w:tcPr>
          <w:p w14:paraId="7DD7EC14" w14:textId="77777777" w:rsidR="00CE63EE" w:rsidRPr="002F2A33" w:rsidRDefault="00CE63EE">
            <w:pPr>
              <w:pStyle w:val="NormalWeb"/>
              <w:spacing w:before="0" w:beforeAutospacing="0" w:after="0" w:afterAutospacing="0"/>
              <w:rPr>
                <w:rFonts w:asciiTheme="majorHAnsi" w:hAnsiTheme="majorHAnsi" w:cs="Arial"/>
                <w:sz w:val="22"/>
                <w:szCs w:val="22"/>
              </w:rPr>
            </w:pPr>
            <w:r w:rsidRPr="002F2A33">
              <w:rPr>
                <w:rFonts w:asciiTheme="majorHAnsi" w:hAnsiTheme="majorHAnsi" w:cs="Arial"/>
                <w:color w:val="000000" w:themeColor="text1"/>
                <w:kern w:val="24"/>
                <w:sz w:val="22"/>
                <w:szCs w:val="22"/>
              </w:rPr>
              <w:t>MCII WOMAC fonction (valeur absol.)</w:t>
            </w:r>
          </w:p>
        </w:tc>
        <w:tc>
          <w:tcPr>
            <w:tcW w:w="1560" w:type="dxa"/>
          </w:tcPr>
          <w:p w14:paraId="5F88C62E" w14:textId="77777777" w:rsidR="00CE63EE" w:rsidRPr="002F2A33" w:rsidRDefault="00CE63EE">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22"/>
                <w:szCs w:val="22"/>
              </w:rPr>
            </w:pPr>
            <w:r w:rsidRPr="002F2A33">
              <w:rPr>
                <w:rFonts w:asciiTheme="majorHAnsi" w:hAnsiTheme="majorHAnsi" w:cs="Arial"/>
                <w:color w:val="000000" w:themeColor="text1"/>
                <w:kern w:val="24"/>
                <w:sz w:val="22"/>
                <w:szCs w:val="22"/>
              </w:rPr>
              <w:t>79 %</w:t>
            </w:r>
          </w:p>
        </w:tc>
        <w:tc>
          <w:tcPr>
            <w:tcW w:w="1701" w:type="dxa"/>
          </w:tcPr>
          <w:p w14:paraId="1D27C9ED" w14:textId="77777777" w:rsidR="00CE63EE" w:rsidRPr="002F2A33" w:rsidRDefault="00CE63EE">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22"/>
                <w:szCs w:val="22"/>
              </w:rPr>
            </w:pPr>
            <w:r w:rsidRPr="002F2A33">
              <w:rPr>
                <w:rFonts w:asciiTheme="majorHAnsi" w:hAnsiTheme="majorHAnsi" w:cs="Arial"/>
                <w:color w:val="000000" w:themeColor="text1"/>
                <w:kern w:val="24"/>
                <w:sz w:val="22"/>
                <w:szCs w:val="22"/>
              </w:rPr>
              <w:t>62.8 %</w:t>
            </w:r>
          </w:p>
        </w:tc>
        <w:tc>
          <w:tcPr>
            <w:tcW w:w="1559" w:type="dxa"/>
          </w:tcPr>
          <w:p w14:paraId="1A7A3C34" w14:textId="77777777" w:rsidR="00CE63EE" w:rsidRPr="002F2A33" w:rsidRDefault="00CE63EE">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22"/>
                <w:szCs w:val="22"/>
              </w:rPr>
            </w:pPr>
            <w:r w:rsidRPr="002F2A33">
              <w:rPr>
                <w:rFonts w:asciiTheme="majorHAnsi" w:hAnsiTheme="majorHAnsi" w:cs="Arial"/>
                <w:color w:val="000000" w:themeColor="text1"/>
                <w:kern w:val="24"/>
                <w:sz w:val="22"/>
                <w:szCs w:val="22"/>
              </w:rPr>
              <w:t>0.0004</w:t>
            </w:r>
          </w:p>
        </w:tc>
      </w:tr>
      <w:tr w:rsidR="00CE63EE" w:rsidRPr="002F2A33" w14:paraId="47F1A1E7" w14:textId="77777777" w:rsidTr="00CE63EE">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4536" w:type="dxa"/>
          </w:tcPr>
          <w:p w14:paraId="47D391D7" w14:textId="77777777" w:rsidR="00CE63EE" w:rsidRPr="002F2A33" w:rsidRDefault="00CE63EE">
            <w:pPr>
              <w:pStyle w:val="NormalWeb"/>
              <w:spacing w:before="0" w:beforeAutospacing="0" w:after="0" w:afterAutospacing="0"/>
              <w:rPr>
                <w:rFonts w:asciiTheme="majorHAnsi" w:hAnsiTheme="majorHAnsi" w:cs="Arial"/>
                <w:sz w:val="22"/>
                <w:szCs w:val="22"/>
              </w:rPr>
            </w:pPr>
            <w:r w:rsidRPr="002F2A33">
              <w:rPr>
                <w:rFonts w:asciiTheme="majorHAnsi" w:hAnsiTheme="majorHAnsi" w:cs="Arial"/>
                <w:color w:val="000000" w:themeColor="text1"/>
                <w:kern w:val="24"/>
                <w:sz w:val="22"/>
                <w:szCs w:val="22"/>
              </w:rPr>
              <w:t>MCII WOMAC fonction (% variation)</w:t>
            </w:r>
          </w:p>
        </w:tc>
        <w:tc>
          <w:tcPr>
            <w:tcW w:w="1560" w:type="dxa"/>
          </w:tcPr>
          <w:p w14:paraId="1A8EB176" w14:textId="77777777" w:rsidR="00CE63EE" w:rsidRPr="002F2A33" w:rsidRDefault="00CE63EE">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rPr>
            </w:pPr>
            <w:r w:rsidRPr="002F2A33">
              <w:rPr>
                <w:rFonts w:asciiTheme="majorHAnsi" w:hAnsiTheme="majorHAnsi" w:cs="Arial"/>
                <w:color w:val="000000" w:themeColor="text1"/>
                <w:kern w:val="24"/>
                <w:sz w:val="22"/>
                <w:szCs w:val="22"/>
              </w:rPr>
              <w:t>76 %</w:t>
            </w:r>
          </w:p>
        </w:tc>
        <w:tc>
          <w:tcPr>
            <w:tcW w:w="1701" w:type="dxa"/>
          </w:tcPr>
          <w:p w14:paraId="6F3AB2DD" w14:textId="77777777" w:rsidR="00CE63EE" w:rsidRPr="002F2A33" w:rsidRDefault="00CE63EE">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rPr>
            </w:pPr>
            <w:r w:rsidRPr="002F2A33">
              <w:rPr>
                <w:rFonts w:asciiTheme="majorHAnsi" w:hAnsiTheme="majorHAnsi" w:cs="Arial"/>
                <w:color w:val="000000" w:themeColor="text1"/>
                <w:kern w:val="24"/>
                <w:sz w:val="22"/>
                <w:szCs w:val="22"/>
              </w:rPr>
              <w:t>58 %</w:t>
            </w:r>
          </w:p>
        </w:tc>
        <w:tc>
          <w:tcPr>
            <w:tcW w:w="1559" w:type="dxa"/>
          </w:tcPr>
          <w:p w14:paraId="39ECAE90" w14:textId="77777777" w:rsidR="00CE63EE" w:rsidRPr="002F2A33" w:rsidRDefault="00CE63EE">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rPr>
            </w:pPr>
            <w:r w:rsidRPr="002F2A33">
              <w:rPr>
                <w:rFonts w:asciiTheme="majorHAnsi" w:hAnsiTheme="majorHAnsi" w:cs="Arial"/>
                <w:color w:val="000000" w:themeColor="text1"/>
                <w:kern w:val="24"/>
                <w:sz w:val="22"/>
                <w:szCs w:val="22"/>
              </w:rPr>
              <w:t>0.001</w:t>
            </w:r>
          </w:p>
        </w:tc>
      </w:tr>
      <w:tr w:rsidR="00CE63EE" w:rsidRPr="002F2A33" w14:paraId="6A23B9EA" w14:textId="77777777" w:rsidTr="00CE63EE">
        <w:trPr>
          <w:cnfStyle w:val="000000010000" w:firstRow="0" w:lastRow="0" w:firstColumn="0" w:lastColumn="0" w:oddVBand="0" w:evenVBand="0" w:oddHBand="0" w:evenHBand="1"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4536" w:type="dxa"/>
          </w:tcPr>
          <w:p w14:paraId="1BDD01B9" w14:textId="77777777" w:rsidR="00CE63EE" w:rsidRPr="002F2A33" w:rsidRDefault="00CE63EE">
            <w:pPr>
              <w:pStyle w:val="NormalWeb"/>
              <w:spacing w:before="0" w:beforeAutospacing="0" w:after="0" w:afterAutospacing="0"/>
              <w:rPr>
                <w:rFonts w:asciiTheme="majorHAnsi" w:hAnsiTheme="majorHAnsi" w:cs="Arial"/>
                <w:sz w:val="22"/>
                <w:szCs w:val="22"/>
              </w:rPr>
            </w:pPr>
            <w:r w:rsidRPr="002F2A33">
              <w:rPr>
                <w:rFonts w:asciiTheme="majorHAnsi" w:hAnsiTheme="majorHAnsi" w:cs="Arial"/>
                <w:color w:val="000000" w:themeColor="text1"/>
                <w:kern w:val="24"/>
                <w:sz w:val="22"/>
                <w:szCs w:val="22"/>
              </w:rPr>
              <w:t>PASS EVA douleur (&lt; 32.3 mm)</w:t>
            </w:r>
          </w:p>
        </w:tc>
        <w:tc>
          <w:tcPr>
            <w:tcW w:w="1560" w:type="dxa"/>
          </w:tcPr>
          <w:p w14:paraId="0897D1C7" w14:textId="77777777" w:rsidR="00CE63EE" w:rsidRPr="002F2A33" w:rsidRDefault="00CE63EE">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22"/>
                <w:szCs w:val="22"/>
              </w:rPr>
            </w:pPr>
            <w:r w:rsidRPr="002F2A33">
              <w:rPr>
                <w:rFonts w:asciiTheme="majorHAnsi" w:hAnsiTheme="majorHAnsi" w:cs="Arial"/>
                <w:color w:val="000000" w:themeColor="text1"/>
                <w:kern w:val="24"/>
                <w:sz w:val="22"/>
                <w:szCs w:val="22"/>
              </w:rPr>
              <w:t>66.7 %</w:t>
            </w:r>
          </w:p>
        </w:tc>
        <w:tc>
          <w:tcPr>
            <w:tcW w:w="1701" w:type="dxa"/>
          </w:tcPr>
          <w:p w14:paraId="43578247" w14:textId="77777777" w:rsidR="00CE63EE" w:rsidRPr="002F2A33" w:rsidRDefault="00CE63EE">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22"/>
                <w:szCs w:val="22"/>
              </w:rPr>
            </w:pPr>
            <w:r w:rsidRPr="002F2A33">
              <w:rPr>
                <w:rFonts w:asciiTheme="majorHAnsi" w:hAnsiTheme="majorHAnsi" w:cs="Arial"/>
                <w:color w:val="000000" w:themeColor="text1"/>
                <w:kern w:val="24"/>
                <w:sz w:val="22"/>
                <w:szCs w:val="22"/>
              </w:rPr>
              <w:t>54.7 %</w:t>
            </w:r>
          </w:p>
        </w:tc>
        <w:tc>
          <w:tcPr>
            <w:tcW w:w="1559" w:type="dxa"/>
          </w:tcPr>
          <w:p w14:paraId="0F2DC679" w14:textId="77777777" w:rsidR="00CE63EE" w:rsidRPr="002F2A33" w:rsidRDefault="00CE63EE">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22"/>
                <w:szCs w:val="22"/>
              </w:rPr>
            </w:pPr>
            <w:r w:rsidRPr="002F2A33">
              <w:rPr>
                <w:rFonts w:asciiTheme="majorHAnsi" w:hAnsiTheme="majorHAnsi" w:cs="Arial"/>
                <w:color w:val="000000" w:themeColor="text1"/>
                <w:kern w:val="24"/>
                <w:sz w:val="22"/>
                <w:szCs w:val="22"/>
              </w:rPr>
              <w:t>0.023</w:t>
            </w:r>
          </w:p>
        </w:tc>
      </w:tr>
      <w:tr w:rsidR="00CE63EE" w:rsidRPr="002F2A33" w14:paraId="5A410994" w14:textId="77777777" w:rsidTr="00CE63EE">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4536" w:type="dxa"/>
          </w:tcPr>
          <w:p w14:paraId="77A03B6B" w14:textId="77777777" w:rsidR="00CE63EE" w:rsidRPr="002F2A33" w:rsidRDefault="00CE63EE">
            <w:pPr>
              <w:pStyle w:val="NormalWeb"/>
              <w:spacing w:before="0" w:beforeAutospacing="0" w:after="0" w:afterAutospacing="0"/>
              <w:rPr>
                <w:rFonts w:asciiTheme="majorHAnsi" w:hAnsiTheme="majorHAnsi" w:cs="Arial"/>
                <w:sz w:val="22"/>
                <w:szCs w:val="22"/>
              </w:rPr>
            </w:pPr>
            <w:r w:rsidRPr="002F2A33">
              <w:rPr>
                <w:rFonts w:asciiTheme="majorHAnsi" w:hAnsiTheme="majorHAnsi" w:cs="Arial"/>
                <w:color w:val="000000" w:themeColor="text1"/>
                <w:kern w:val="24"/>
                <w:sz w:val="22"/>
                <w:szCs w:val="22"/>
              </w:rPr>
              <w:t>PASS WOMAC fonction (&lt; 31.0 mm)</w:t>
            </w:r>
          </w:p>
        </w:tc>
        <w:tc>
          <w:tcPr>
            <w:tcW w:w="1560" w:type="dxa"/>
          </w:tcPr>
          <w:p w14:paraId="591469E9" w14:textId="77777777" w:rsidR="00CE63EE" w:rsidRPr="002F2A33" w:rsidRDefault="00CE63EE">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rPr>
            </w:pPr>
            <w:r w:rsidRPr="002F2A33">
              <w:rPr>
                <w:rFonts w:asciiTheme="majorHAnsi" w:hAnsiTheme="majorHAnsi" w:cs="Arial"/>
                <w:color w:val="000000" w:themeColor="text1"/>
                <w:kern w:val="24"/>
                <w:sz w:val="22"/>
                <w:szCs w:val="22"/>
              </w:rPr>
              <w:t>71.9 %</w:t>
            </w:r>
          </w:p>
        </w:tc>
        <w:tc>
          <w:tcPr>
            <w:tcW w:w="1701" w:type="dxa"/>
          </w:tcPr>
          <w:p w14:paraId="7F2FFB2A" w14:textId="77777777" w:rsidR="00CE63EE" w:rsidRPr="002F2A33" w:rsidRDefault="00CE63EE">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rPr>
            </w:pPr>
            <w:r w:rsidRPr="002F2A33">
              <w:rPr>
                <w:rFonts w:asciiTheme="majorHAnsi" w:hAnsiTheme="majorHAnsi" w:cs="Arial"/>
                <w:color w:val="000000" w:themeColor="text1"/>
                <w:kern w:val="24"/>
                <w:sz w:val="22"/>
                <w:szCs w:val="22"/>
              </w:rPr>
              <w:t>50 %</w:t>
            </w:r>
          </w:p>
        </w:tc>
        <w:tc>
          <w:tcPr>
            <w:tcW w:w="1559" w:type="dxa"/>
          </w:tcPr>
          <w:p w14:paraId="6EC36D32" w14:textId="77777777" w:rsidR="00CE63EE" w:rsidRPr="002F2A33" w:rsidRDefault="00CE63EE">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rPr>
            </w:pPr>
            <w:r w:rsidRPr="002F2A33">
              <w:rPr>
                <w:rFonts w:asciiTheme="majorHAnsi" w:hAnsiTheme="majorHAnsi" w:cs="Arial"/>
                <w:color w:val="000000" w:themeColor="text1"/>
                <w:kern w:val="24"/>
                <w:sz w:val="22"/>
                <w:szCs w:val="22"/>
              </w:rPr>
              <w:t>&lt;0.0001</w:t>
            </w:r>
          </w:p>
        </w:tc>
      </w:tr>
      <w:tr w:rsidR="00CE63EE" w:rsidRPr="002F2A33" w14:paraId="75CC5F9C" w14:textId="77777777" w:rsidTr="00CE63EE">
        <w:trPr>
          <w:cnfStyle w:val="000000010000" w:firstRow="0" w:lastRow="0" w:firstColumn="0" w:lastColumn="0" w:oddVBand="0" w:evenVBand="0" w:oddHBand="0" w:evenHBand="1"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4536" w:type="dxa"/>
          </w:tcPr>
          <w:p w14:paraId="0C195AB2" w14:textId="77777777" w:rsidR="00CE63EE" w:rsidRPr="002F2A33" w:rsidRDefault="00CE63EE">
            <w:pPr>
              <w:pStyle w:val="NormalWeb"/>
              <w:spacing w:before="0" w:beforeAutospacing="0" w:after="0" w:afterAutospacing="0"/>
              <w:rPr>
                <w:rFonts w:asciiTheme="majorHAnsi" w:hAnsiTheme="majorHAnsi" w:cs="Arial"/>
                <w:sz w:val="22"/>
                <w:szCs w:val="22"/>
              </w:rPr>
            </w:pPr>
            <w:r w:rsidRPr="002F2A33">
              <w:rPr>
                <w:rFonts w:asciiTheme="majorHAnsi" w:hAnsiTheme="majorHAnsi" w:cs="Arial"/>
                <w:color w:val="000000" w:themeColor="text1"/>
                <w:kern w:val="24"/>
                <w:sz w:val="22"/>
                <w:szCs w:val="22"/>
              </w:rPr>
              <w:t>PASS Patient global (&gt; 68.0 mm)</w:t>
            </w:r>
          </w:p>
        </w:tc>
        <w:tc>
          <w:tcPr>
            <w:tcW w:w="1560" w:type="dxa"/>
          </w:tcPr>
          <w:p w14:paraId="43B90FAB" w14:textId="77777777" w:rsidR="00CE63EE" w:rsidRPr="002F2A33" w:rsidRDefault="00CE63EE">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22"/>
                <w:szCs w:val="22"/>
              </w:rPr>
            </w:pPr>
            <w:r w:rsidRPr="002F2A33">
              <w:rPr>
                <w:rFonts w:asciiTheme="majorHAnsi" w:hAnsiTheme="majorHAnsi" w:cs="Arial"/>
                <w:color w:val="000000" w:themeColor="text1"/>
                <w:kern w:val="24"/>
                <w:sz w:val="22"/>
                <w:szCs w:val="22"/>
              </w:rPr>
              <w:t>64.3 %</w:t>
            </w:r>
          </w:p>
        </w:tc>
        <w:tc>
          <w:tcPr>
            <w:tcW w:w="1701" w:type="dxa"/>
          </w:tcPr>
          <w:p w14:paraId="2D9AE505" w14:textId="77777777" w:rsidR="00CE63EE" w:rsidRPr="002F2A33" w:rsidRDefault="00CE63EE">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22"/>
                <w:szCs w:val="22"/>
              </w:rPr>
            </w:pPr>
            <w:r w:rsidRPr="002F2A33">
              <w:rPr>
                <w:rFonts w:asciiTheme="majorHAnsi" w:hAnsiTheme="majorHAnsi" w:cs="Arial"/>
                <w:color w:val="000000" w:themeColor="text1"/>
                <w:kern w:val="24"/>
                <w:sz w:val="22"/>
                <w:szCs w:val="22"/>
              </w:rPr>
              <w:t>48.3 %</w:t>
            </w:r>
          </w:p>
        </w:tc>
        <w:tc>
          <w:tcPr>
            <w:tcW w:w="1559" w:type="dxa"/>
          </w:tcPr>
          <w:p w14:paraId="2A50B8C0" w14:textId="77777777" w:rsidR="00CE63EE" w:rsidRPr="002F2A33" w:rsidRDefault="00CE63EE">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22"/>
                <w:szCs w:val="22"/>
              </w:rPr>
            </w:pPr>
            <w:r w:rsidRPr="002F2A33">
              <w:rPr>
                <w:rFonts w:asciiTheme="majorHAnsi" w:hAnsiTheme="majorHAnsi" w:cs="Arial"/>
                <w:color w:val="000000" w:themeColor="text1"/>
                <w:kern w:val="24"/>
                <w:sz w:val="22"/>
                <w:szCs w:val="22"/>
              </w:rPr>
              <w:t>0.003</w:t>
            </w:r>
          </w:p>
        </w:tc>
      </w:tr>
    </w:tbl>
    <w:p w14:paraId="3C7CD6EA" w14:textId="0DA769C0" w:rsidR="00CE63EE" w:rsidRPr="002F2A33" w:rsidRDefault="00CE63EE" w:rsidP="00CE63EE">
      <w:pPr>
        <w:rPr>
          <w:rFonts w:asciiTheme="majorHAnsi" w:hAnsiTheme="majorHAnsi"/>
          <w:sz w:val="22"/>
          <w:szCs w:val="22"/>
        </w:rPr>
      </w:pPr>
      <w:r w:rsidRPr="002F2A33">
        <w:rPr>
          <w:rFonts w:asciiTheme="majorHAnsi" w:hAnsiTheme="majorHAnsi"/>
          <w:b/>
          <w:bCs/>
          <w:i/>
          <w:iCs/>
          <w:sz w:val="22"/>
          <w:szCs w:val="22"/>
        </w:rPr>
        <w:t xml:space="preserve">Tableau 1 : Analyse en % de répondeurs de l’essai GO-ON vs Hyalgan. Résultats </w:t>
      </w:r>
      <w:r w:rsidR="002F2A33">
        <w:rPr>
          <w:rFonts w:asciiTheme="majorHAnsi" w:hAnsiTheme="majorHAnsi"/>
          <w:b/>
          <w:bCs/>
          <w:i/>
          <w:iCs/>
          <w:sz w:val="22"/>
          <w:szCs w:val="22"/>
        </w:rPr>
        <w:t>-</w:t>
      </w:r>
      <w:r w:rsidRPr="002F2A33">
        <w:rPr>
          <w:rFonts w:asciiTheme="majorHAnsi" w:hAnsiTheme="majorHAnsi"/>
          <w:b/>
          <w:bCs/>
          <w:i/>
          <w:iCs/>
          <w:sz w:val="22"/>
          <w:szCs w:val="22"/>
        </w:rPr>
        <w:t xml:space="preserve"> population PP (426 patients, 343 PP) (28)</w:t>
      </w:r>
    </w:p>
    <w:p w14:paraId="1C4D9093" w14:textId="77777777" w:rsidR="00CE63EE" w:rsidRDefault="00CE63EE" w:rsidP="00CE63EE">
      <w:pPr>
        <w:rPr>
          <w:rFonts w:asciiTheme="majorHAnsi" w:hAnsiTheme="majorHAnsi"/>
        </w:rPr>
      </w:pPr>
    </w:p>
    <w:p w14:paraId="66B00867" w14:textId="77777777" w:rsidR="00CE63EE" w:rsidRDefault="00CE63EE" w:rsidP="00CE63EE">
      <w:pPr>
        <w:rPr>
          <w:rFonts w:asciiTheme="majorHAnsi" w:hAnsiTheme="majorHAnsi"/>
        </w:rPr>
      </w:pPr>
    </w:p>
    <w:tbl>
      <w:tblPr>
        <w:tblStyle w:val="Tramemoyenne1-Accent1"/>
        <w:tblW w:w="9498" w:type="dxa"/>
        <w:tblInd w:w="108" w:type="dxa"/>
        <w:tblLook w:val="04A0" w:firstRow="1" w:lastRow="0" w:firstColumn="1" w:lastColumn="0" w:noHBand="0" w:noVBand="1"/>
      </w:tblPr>
      <w:tblGrid>
        <w:gridCol w:w="3544"/>
        <w:gridCol w:w="1559"/>
        <w:gridCol w:w="1701"/>
        <w:gridCol w:w="2694"/>
      </w:tblGrid>
      <w:tr w:rsidR="00CE63EE" w:rsidRPr="002F2A33" w14:paraId="75C77501" w14:textId="77777777" w:rsidTr="00CE63EE">
        <w:trPr>
          <w:cnfStyle w:val="100000000000" w:firstRow="1" w:lastRow="0" w:firstColumn="0" w:lastColumn="0" w:oddVBand="0" w:evenVBand="0" w:oddHBand="0" w:evenHBand="0" w:firstRowFirstColumn="0" w:firstRowLastColumn="0" w:lastRowFirstColumn="0" w:lastRowLastColumn="0"/>
          <w:trHeight w:val="895"/>
        </w:trPr>
        <w:tc>
          <w:tcPr>
            <w:cnfStyle w:val="001000000000" w:firstRow="0" w:lastRow="0" w:firstColumn="1" w:lastColumn="0" w:oddVBand="0" w:evenVBand="0" w:oddHBand="0" w:evenHBand="0" w:firstRowFirstColumn="0" w:firstRowLastColumn="0" w:lastRowFirstColumn="0" w:lastRowLastColumn="0"/>
            <w:tcW w:w="3544" w:type="dxa"/>
          </w:tcPr>
          <w:p w14:paraId="0A3F4FAE" w14:textId="77777777" w:rsidR="00CE63EE" w:rsidRPr="002F2A33" w:rsidRDefault="00CE63EE">
            <w:pPr>
              <w:pStyle w:val="NormalWeb"/>
              <w:spacing w:before="0" w:beforeAutospacing="0" w:after="0" w:afterAutospacing="0"/>
              <w:rPr>
                <w:rFonts w:asciiTheme="majorHAnsi" w:hAnsiTheme="majorHAnsi" w:cs="Arial"/>
                <w:color w:val="FFFF00"/>
                <w:sz w:val="22"/>
                <w:szCs w:val="22"/>
              </w:rPr>
            </w:pPr>
            <w:r w:rsidRPr="002F2A33">
              <w:rPr>
                <w:rFonts w:asciiTheme="majorHAnsi" w:hAnsiTheme="majorHAnsi" w:cs="Arial"/>
                <w:bCs w:val="0"/>
                <w:color w:val="FFFF00"/>
                <w:kern w:val="24"/>
                <w:sz w:val="22"/>
                <w:szCs w:val="22"/>
              </w:rPr>
              <w:t>Critère</w:t>
            </w:r>
          </w:p>
        </w:tc>
        <w:tc>
          <w:tcPr>
            <w:tcW w:w="1559" w:type="dxa"/>
          </w:tcPr>
          <w:p w14:paraId="39E08E25" w14:textId="77777777" w:rsidR="00CE63EE" w:rsidRPr="002F2A33" w:rsidRDefault="00CE63EE" w:rsidP="00CE63EE">
            <w:pPr>
              <w:pStyle w:val="NormalWeb"/>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Theme="majorHAnsi" w:hAnsiTheme="majorHAnsi" w:cs="Arial"/>
                <w:color w:val="FFFF00"/>
                <w:sz w:val="22"/>
                <w:szCs w:val="22"/>
              </w:rPr>
            </w:pPr>
            <w:r w:rsidRPr="002F2A33">
              <w:rPr>
                <w:rFonts w:asciiTheme="majorHAnsi" w:hAnsiTheme="majorHAnsi" w:cs="Arial"/>
                <w:bCs w:val="0"/>
                <w:color w:val="FFFF00"/>
                <w:kern w:val="24"/>
                <w:sz w:val="22"/>
                <w:szCs w:val="22"/>
                <w:lang w:val="en-GB"/>
              </w:rPr>
              <w:t>F60027IA</w:t>
            </w:r>
          </w:p>
          <w:p w14:paraId="76B9E34D" w14:textId="77777777" w:rsidR="00CE63EE" w:rsidRPr="002F2A33" w:rsidRDefault="00CE63EE" w:rsidP="00CE63EE">
            <w:pPr>
              <w:pStyle w:val="NormalWeb"/>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Theme="majorHAnsi" w:hAnsiTheme="majorHAnsi" w:cs="Arial"/>
                <w:color w:val="FFFF00"/>
                <w:sz w:val="22"/>
                <w:szCs w:val="22"/>
              </w:rPr>
            </w:pPr>
            <w:r w:rsidRPr="002F2A33">
              <w:rPr>
                <w:rFonts w:asciiTheme="majorHAnsi" w:hAnsiTheme="majorHAnsi" w:cs="Arial"/>
                <w:bCs w:val="0"/>
                <w:color w:val="FFFF00"/>
                <w:kern w:val="24"/>
                <w:sz w:val="22"/>
                <w:szCs w:val="22"/>
              </w:rPr>
              <w:t>N = 119</w:t>
            </w:r>
          </w:p>
        </w:tc>
        <w:tc>
          <w:tcPr>
            <w:tcW w:w="1701" w:type="dxa"/>
          </w:tcPr>
          <w:p w14:paraId="5451F436" w14:textId="77777777" w:rsidR="00CE63EE" w:rsidRPr="002F2A33" w:rsidRDefault="00CE63EE" w:rsidP="00CE63EE">
            <w:pPr>
              <w:pStyle w:val="NormalWeb"/>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Theme="majorHAnsi" w:hAnsiTheme="majorHAnsi" w:cs="Arial"/>
                <w:color w:val="FFFF00"/>
                <w:sz w:val="22"/>
                <w:szCs w:val="22"/>
              </w:rPr>
            </w:pPr>
            <w:r w:rsidRPr="002F2A33">
              <w:rPr>
                <w:rFonts w:asciiTheme="majorHAnsi" w:hAnsiTheme="majorHAnsi" w:cs="Arial"/>
                <w:bCs w:val="0"/>
                <w:color w:val="FFFF00"/>
                <w:kern w:val="24"/>
                <w:sz w:val="22"/>
                <w:szCs w:val="22"/>
                <w:lang w:val="en-GB"/>
              </w:rPr>
              <w:t>Hylan G-F20</w:t>
            </w:r>
          </w:p>
          <w:p w14:paraId="6712A38A" w14:textId="77777777" w:rsidR="00CE63EE" w:rsidRPr="002F2A33" w:rsidRDefault="00CE63EE" w:rsidP="00CE63EE">
            <w:pPr>
              <w:pStyle w:val="NormalWeb"/>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Theme="majorHAnsi" w:hAnsiTheme="majorHAnsi" w:cs="Arial"/>
                <w:color w:val="FFFF00"/>
                <w:sz w:val="22"/>
                <w:szCs w:val="22"/>
              </w:rPr>
            </w:pPr>
            <w:r w:rsidRPr="002F2A33">
              <w:rPr>
                <w:rFonts w:asciiTheme="majorHAnsi" w:hAnsiTheme="majorHAnsi" w:cs="Arial"/>
                <w:bCs w:val="0"/>
                <w:color w:val="FFFF00"/>
                <w:kern w:val="24"/>
                <w:sz w:val="22"/>
                <w:szCs w:val="22"/>
              </w:rPr>
              <w:t>N = 117</w:t>
            </w:r>
          </w:p>
        </w:tc>
        <w:tc>
          <w:tcPr>
            <w:tcW w:w="2694" w:type="dxa"/>
          </w:tcPr>
          <w:p w14:paraId="5118E2DD" w14:textId="77777777" w:rsidR="00CE63EE" w:rsidRPr="002F2A33" w:rsidRDefault="00CE63EE" w:rsidP="00CE63EE">
            <w:pPr>
              <w:pStyle w:val="NormalWeb"/>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Theme="majorHAnsi" w:hAnsiTheme="majorHAnsi" w:cs="Arial"/>
                <w:color w:val="FFFF00"/>
                <w:sz w:val="22"/>
                <w:szCs w:val="22"/>
              </w:rPr>
            </w:pPr>
            <w:r w:rsidRPr="002F2A33">
              <w:rPr>
                <w:rFonts w:asciiTheme="majorHAnsi" w:hAnsiTheme="majorHAnsi" w:cs="Arial"/>
                <w:bCs w:val="0"/>
                <w:color w:val="FFFF00"/>
                <w:kern w:val="24"/>
                <w:sz w:val="22"/>
                <w:szCs w:val="22"/>
              </w:rPr>
              <w:t xml:space="preserve">Delta [IC 95 %] </w:t>
            </w:r>
          </w:p>
          <w:p w14:paraId="42C40A2F" w14:textId="77777777" w:rsidR="00CE63EE" w:rsidRPr="002F2A33" w:rsidRDefault="00CE63EE" w:rsidP="00CE63EE">
            <w:pPr>
              <w:pStyle w:val="NormalWeb"/>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Theme="majorHAnsi" w:hAnsiTheme="majorHAnsi" w:cs="Arial"/>
                <w:color w:val="FFFF00"/>
                <w:sz w:val="22"/>
                <w:szCs w:val="22"/>
              </w:rPr>
            </w:pPr>
            <w:r w:rsidRPr="002F2A33">
              <w:rPr>
                <w:rFonts w:asciiTheme="majorHAnsi" w:hAnsiTheme="majorHAnsi" w:cs="Arial"/>
                <w:bCs w:val="0"/>
                <w:color w:val="FFFF00"/>
                <w:kern w:val="24"/>
                <w:sz w:val="22"/>
                <w:szCs w:val="22"/>
              </w:rPr>
              <w:t xml:space="preserve">ou N ( %) Total </w:t>
            </w:r>
          </w:p>
        </w:tc>
      </w:tr>
      <w:tr w:rsidR="00CE63EE" w:rsidRPr="002F2A33" w14:paraId="654DF717" w14:textId="77777777" w:rsidTr="00CE63EE">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544" w:type="dxa"/>
          </w:tcPr>
          <w:p w14:paraId="7FE08F96" w14:textId="77777777" w:rsidR="00CE63EE" w:rsidRPr="002F2A33" w:rsidRDefault="00CE63EE">
            <w:pPr>
              <w:pStyle w:val="NormalWeb"/>
              <w:spacing w:before="0" w:beforeAutospacing="0" w:after="0" w:afterAutospacing="0"/>
              <w:rPr>
                <w:rFonts w:asciiTheme="majorHAnsi" w:hAnsiTheme="majorHAnsi" w:cs="Arial"/>
                <w:sz w:val="22"/>
                <w:szCs w:val="22"/>
              </w:rPr>
            </w:pPr>
            <w:r w:rsidRPr="002F2A33">
              <w:rPr>
                <w:rFonts w:asciiTheme="majorHAnsi" w:hAnsiTheme="majorHAnsi" w:cs="Arial"/>
                <w:color w:val="000000" w:themeColor="dark1"/>
                <w:kern w:val="24"/>
                <w:sz w:val="22"/>
                <w:szCs w:val="22"/>
              </w:rPr>
              <w:t>Δ Lequesne sur 24 Sem</w:t>
            </w:r>
          </w:p>
        </w:tc>
        <w:tc>
          <w:tcPr>
            <w:tcW w:w="1559" w:type="dxa"/>
          </w:tcPr>
          <w:p w14:paraId="64F160CE" w14:textId="77777777" w:rsidR="00CE63EE" w:rsidRPr="002F2A33" w:rsidRDefault="00CE63EE" w:rsidP="00CE63EE">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rPr>
            </w:pPr>
            <w:r w:rsidRPr="002F2A33">
              <w:rPr>
                <w:rFonts w:asciiTheme="majorHAnsi" w:hAnsiTheme="majorHAnsi" w:cs="Arial"/>
                <w:color w:val="000000" w:themeColor="dark1"/>
                <w:kern w:val="24"/>
                <w:sz w:val="22"/>
                <w:szCs w:val="22"/>
              </w:rPr>
              <w:t>— 4.67 (2.8)</w:t>
            </w:r>
          </w:p>
        </w:tc>
        <w:tc>
          <w:tcPr>
            <w:tcW w:w="1701" w:type="dxa"/>
          </w:tcPr>
          <w:p w14:paraId="1B1BADA8" w14:textId="77777777" w:rsidR="00CE63EE" w:rsidRPr="002F2A33" w:rsidRDefault="00CE63EE" w:rsidP="00CE63EE">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rPr>
            </w:pPr>
            <w:r w:rsidRPr="002F2A33">
              <w:rPr>
                <w:rFonts w:asciiTheme="majorHAnsi" w:hAnsiTheme="majorHAnsi" w:cs="Arial"/>
                <w:color w:val="000000" w:themeColor="dark1"/>
                <w:kern w:val="24"/>
                <w:sz w:val="22"/>
                <w:szCs w:val="22"/>
              </w:rPr>
              <w:t>— 4.54 (2.9)</w:t>
            </w:r>
          </w:p>
        </w:tc>
        <w:tc>
          <w:tcPr>
            <w:tcW w:w="2694" w:type="dxa"/>
          </w:tcPr>
          <w:p w14:paraId="0FE1D250" w14:textId="77777777" w:rsidR="00CE63EE" w:rsidRPr="002F2A33" w:rsidRDefault="00CE63EE" w:rsidP="00CE63EE">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rPr>
            </w:pPr>
            <w:r w:rsidRPr="002F2A33">
              <w:rPr>
                <w:rFonts w:asciiTheme="majorHAnsi" w:eastAsiaTheme="minorEastAsia" w:hAnsiTheme="majorHAnsi" w:cs="Arial"/>
                <w:color w:val="000000" w:themeColor="dark1"/>
                <w:kern w:val="24"/>
                <w:sz w:val="22"/>
                <w:szCs w:val="22"/>
              </w:rPr>
              <w:t xml:space="preserve">0.132 </w:t>
            </w:r>
            <w:r w:rsidRPr="002F2A33">
              <w:rPr>
                <w:rFonts w:asciiTheme="majorHAnsi" w:hAnsiTheme="majorHAnsi" w:cs="Arial"/>
                <w:color w:val="000000" w:themeColor="dark1"/>
                <w:kern w:val="24"/>
                <w:sz w:val="22"/>
                <w:szCs w:val="22"/>
              </w:rPr>
              <w:t>[</w:t>
            </w:r>
            <w:r w:rsidRPr="002F2A33">
              <w:rPr>
                <w:rFonts w:asciiTheme="majorHAnsi" w:eastAsiaTheme="minorEastAsia" w:hAnsiTheme="majorHAnsi" w:cs="Arial"/>
                <w:color w:val="000000" w:themeColor="dark1"/>
                <w:kern w:val="24"/>
                <w:sz w:val="22"/>
                <w:szCs w:val="22"/>
              </w:rPr>
              <w:t>-0.598, 0.861]</w:t>
            </w:r>
          </w:p>
        </w:tc>
      </w:tr>
      <w:tr w:rsidR="00CE63EE" w:rsidRPr="002F2A33" w14:paraId="2A3CA2F5" w14:textId="77777777" w:rsidTr="00CE63EE">
        <w:trPr>
          <w:cnfStyle w:val="000000010000" w:firstRow="0" w:lastRow="0" w:firstColumn="0" w:lastColumn="0" w:oddVBand="0" w:evenVBand="0" w:oddHBand="0" w:evenHBand="1" w:firstRowFirstColumn="0" w:firstRowLastColumn="0" w:lastRowFirstColumn="0" w:lastRowLastColumn="0"/>
          <w:trHeight w:val="534"/>
        </w:trPr>
        <w:tc>
          <w:tcPr>
            <w:cnfStyle w:val="001000000000" w:firstRow="0" w:lastRow="0" w:firstColumn="1" w:lastColumn="0" w:oddVBand="0" w:evenVBand="0" w:oddHBand="0" w:evenHBand="0" w:firstRowFirstColumn="0" w:firstRowLastColumn="0" w:lastRowFirstColumn="0" w:lastRowLastColumn="0"/>
            <w:tcW w:w="3544" w:type="dxa"/>
          </w:tcPr>
          <w:p w14:paraId="7B0D17C0" w14:textId="77777777" w:rsidR="00CE63EE" w:rsidRPr="002F2A33" w:rsidRDefault="00CE63EE">
            <w:pPr>
              <w:pStyle w:val="NormalWeb"/>
              <w:spacing w:before="0" w:beforeAutospacing="0" w:after="0" w:afterAutospacing="0"/>
              <w:rPr>
                <w:rFonts w:asciiTheme="majorHAnsi" w:hAnsiTheme="majorHAnsi" w:cs="Arial"/>
                <w:sz w:val="22"/>
                <w:szCs w:val="22"/>
              </w:rPr>
            </w:pPr>
            <w:r w:rsidRPr="002F2A33">
              <w:rPr>
                <w:rFonts w:asciiTheme="majorHAnsi" w:hAnsiTheme="majorHAnsi" w:cs="Arial"/>
                <w:color w:val="000000" w:themeColor="dark1"/>
                <w:kern w:val="24"/>
                <w:sz w:val="22"/>
                <w:szCs w:val="22"/>
              </w:rPr>
              <w:t>Δ EVA douleur (0-100 mm)</w:t>
            </w:r>
          </w:p>
        </w:tc>
        <w:tc>
          <w:tcPr>
            <w:tcW w:w="1559" w:type="dxa"/>
          </w:tcPr>
          <w:p w14:paraId="40551E41" w14:textId="77777777" w:rsidR="00CE63EE" w:rsidRPr="002F2A33" w:rsidRDefault="00CE63EE" w:rsidP="00CE63EE">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22"/>
                <w:szCs w:val="22"/>
              </w:rPr>
            </w:pPr>
            <w:r w:rsidRPr="002F2A33">
              <w:rPr>
                <w:rFonts w:asciiTheme="majorHAnsi" w:hAnsiTheme="majorHAnsi" w:cs="Arial"/>
                <w:color w:val="000000" w:themeColor="dark1"/>
                <w:kern w:val="24"/>
                <w:sz w:val="22"/>
                <w:szCs w:val="22"/>
              </w:rPr>
              <w:t>— 33.6 (18.0)</w:t>
            </w:r>
          </w:p>
        </w:tc>
        <w:tc>
          <w:tcPr>
            <w:tcW w:w="1701" w:type="dxa"/>
          </w:tcPr>
          <w:p w14:paraId="1C76870C" w14:textId="77777777" w:rsidR="00CE63EE" w:rsidRPr="002F2A33" w:rsidRDefault="00CE63EE" w:rsidP="00CE63EE">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22"/>
                <w:szCs w:val="22"/>
              </w:rPr>
            </w:pPr>
            <w:r w:rsidRPr="002F2A33">
              <w:rPr>
                <w:rFonts w:asciiTheme="majorHAnsi" w:hAnsiTheme="majorHAnsi" w:cs="Arial"/>
                <w:color w:val="000000" w:themeColor="dark1"/>
                <w:kern w:val="24"/>
                <w:sz w:val="22"/>
                <w:szCs w:val="22"/>
              </w:rPr>
              <w:t>— 31.3 (19.7)</w:t>
            </w:r>
          </w:p>
        </w:tc>
        <w:tc>
          <w:tcPr>
            <w:tcW w:w="2694" w:type="dxa"/>
          </w:tcPr>
          <w:p w14:paraId="0A278C43" w14:textId="77777777" w:rsidR="00CE63EE" w:rsidRPr="002F2A33" w:rsidRDefault="00CE63EE" w:rsidP="00CE63EE">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22"/>
                <w:szCs w:val="22"/>
              </w:rPr>
            </w:pPr>
            <w:r w:rsidRPr="002F2A33">
              <w:rPr>
                <w:rFonts w:asciiTheme="majorHAnsi" w:hAnsiTheme="majorHAnsi" w:cs="Arial"/>
                <w:color w:val="000000" w:themeColor="dark1"/>
                <w:kern w:val="24"/>
                <w:sz w:val="22"/>
                <w:szCs w:val="22"/>
              </w:rPr>
              <w:t>1.686 [-2.794, 6.165]</w:t>
            </w:r>
          </w:p>
        </w:tc>
      </w:tr>
      <w:tr w:rsidR="00CE63EE" w:rsidRPr="002F2A33" w14:paraId="047C23F9" w14:textId="77777777" w:rsidTr="00CE63EE">
        <w:trPr>
          <w:cnfStyle w:val="000000100000" w:firstRow="0" w:lastRow="0" w:firstColumn="0" w:lastColumn="0" w:oddVBand="0" w:evenVBand="0" w:oddHBand="1" w:evenHBand="0" w:firstRowFirstColumn="0" w:firstRowLastColumn="0" w:lastRowFirstColumn="0" w:lastRowLastColumn="0"/>
          <w:trHeight w:val="839"/>
        </w:trPr>
        <w:tc>
          <w:tcPr>
            <w:cnfStyle w:val="001000000000" w:firstRow="0" w:lastRow="0" w:firstColumn="1" w:lastColumn="0" w:oddVBand="0" w:evenVBand="0" w:oddHBand="0" w:evenHBand="0" w:firstRowFirstColumn="0" w:firstRowLastColumn="0" w:lastRowFirstColumn="0" w:lastRowLastColumn="0"/>
            <w:tcW w:w="3544" w:type="dxa"/>
          </w:tcPr>
          <w:p w14:paraId="734468D1" w14:textId="77777777" w:rsidR="00CE63EE" w:rsidRPr="002F2A33" w:rsidRDefault="00CE63EE">
            <w:pPr>
              <w:pStyle w:val="NormalWeb"/>
              <w:spacing w:before="96" w:beforeAutospacing="0" w:after="0" w:afterAutospacing="0" w:line="216" w:lineRule="auto"/>
              <w:textAlignment w:val="baseline"/>
              <w:rPr>
                <w:rFonts w:asciiTheme="majorHAnsi" w:hAnsiTheme="majorHAnsi" w:cs="Arial"/>
                <w:sz w:val="22"/>
                <w:szCs w:val="22"/>
              </w:rPr>
            </w:pPr>
            <w:r w:rsidRPr="002F2A33">
              <w:rPr>
                <w:rFonts w:asciiTheme="majorHAnsi" w:hAnsiTheme="majorHAnsi" w:cs="Arial"/>
                <w:color w:val="000000" w:themeColor="text1"/>
                <w:kern w:val="24"/>
                <w:sz w:val="22"/>
                <w:szCs w:val="22"/>
              </w:rPr>
              <w:t xml:space="preserve">% de patients avec </w:t>
            </w:r>
            <w:r w:rsidRPr="002F2A33">
              <w:rPr>
                <w:rFonts w:asciiTheme="majorHAnsi" w:hAnsiTheme="majorHAnsi" w:cs="Arial"/>
                <w:bCs w:val="0"/>
                <w:kern w:val="24"/>
                <w:sz w:val="22"/>
                <w:szCs w:val="22"/>
              </w:rPr>
              <w:t>MCII</w:t>
            </w:r>
            <w:r w:rsidRPr="002F2A33">
              <w:rPr>
                <w:rFonts w:asciiTheme="majorHAnsi" w:hAnsiTheme="majorHAnsi" w:cs="Arial"/>
                <w:kern w:val="24"/>
                <w:sz w:val="22"/>
                <w:szCs w:val="22"/>
              </w:rPr>
              <w:t xml:space="preserve"> </w:t>
            </w:r>
            <w:r w:rsidRPr="002F2A33">
              <w:rPr>
                <w:rFonts w:asciiTheme="majorHAnsi" w:hAnsiTheme="majorHAnsi" w:cs="Arial"/>
                <w:color w:val="000000" w:themeColor="text1"/>
                <w:kern w:val="24"/>
                <w:sz w:val="22"/>
                <w:szCs w:val="22"/>
              </w:rPr>
              <w:t>(absolue) ≥ 19.9 mm</w:t>
            </w:r>
          </w:p>
        </w:tc>
        <w:tc>
          <w:tcPr>
            <w:tcW w:w="1559" w:type="dxa"/>
          </w:tcPr>
          <w:p w14:paraId="227615A2" w14:textId="77777777" w:rsidR="00CE63EE" w:rsidRPr="002F2A33" w:rsidRDefault="00CE63EE" w:rsidP="00CE63EE">
            <w:pPr>
              <w:pStyle w:val="NormalWeb"/>
              <w:spacing w:before="96" w:beforeAutospacing="0" w:after="0" w:afterAutospacing="0" w:line="216" w:lineRule="auto"/>
              <w:textAlignment w:val="baseline"/>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rPr>
            </w:pPr>
            <w:r w:rsidRPr="002F2A33">
              <w:rPr>
                <w:rFonts w:asciiTheme="majorHAnsi" w:hAnsiTheme="majorHAnsi" w:cs="Arial"/>
                <w:color w:val="000000"/>
                <w:kern w:val="24"/>
                <w:sz w:val="22"/>
                <w:szCs w:val="22"/>
              </w:rPr>
              <w:t>96 (80.7 %)</w:t>
            </w:r>
          </w:p>
        </w:tc>
        <w:tc>
          <w:tcPr>
            <w:tcW w:w="1701" w:type="dxa"/>
          </w:tcPr>
          <w:p w14:paraId="2728BD7F" w14:textId="77777777" w:rsidR="00CE63EE" w:rsidRPr="002F2A33" w:rsidRDefault="00CE63EE" w:rsidP="00CE63EE">
            <w:pPr>
              <w:pStyle w:val="NormalWeb"/>
              <w:spacing w:before="96" w:beforeAutospacing="0" w:after="0" w:afterAutospacing="0" w:line="216" w:lineRule="auto"/>
              <w:textAlignment w:val="baseline"/>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rPr>
            </w:pPr>
            <w:r w:rsidRPr="002F2A33">
              <w:rPr>
                <w:rFonts w:asciiTheme="majorHAnsi" w:hAnsiTheme="majorHAnsi" w:cs="Arial"/>
                <w:color w:val="000000"/>
                <w:kern w:val="24"/>
                <w:sz w:val="22"/>
                <w:szCs w:val="22"/>
              </w:rPr>
              <w:t>88 (75.2 %)</w:t>
            </w:r>
          </w:p>
        </w:tc>
        <w:tc>
          <w:tcPr>
            <w:tcW w:w="2694" w:type="dxa"/>
          </w:tcPr>
          <w:p w14:paraId="60FA7C37" w14:textId="77777777" w:rsidR="00CE63EE" w:rsidRPr="002F2A33" w:rsidRDefault="00CE63EE" w:rsidP="00CE63EE">
            <w:pPr>
              <w:pStyle w:val="NormalWeb"/>
              <w:spacing w:before="96" w:beforeAutospacing="0" w:after="0" w:afterAutospacing="0" w:line="216" w:lineRule="auto"/>
              <w:textAlignment w:val="baseline"/>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rPr>
            </w:pPr>
            <w:r w:rsidRPr="002F2A33">
              <w:rPr>
                <w:rFonts w:asciiTheme="majorHAnsi" w:hAnsiTheme="majorHAnsi" w:cs="Arial"/>
                <w:color w:val="000000"/>
                <w:kern w:val="24"/>
                <w:sz w:val="22"/>
                <w:szCs w:val="22"/>
              </w:rPr>
              <w:t>184 (78 %)</w:t>
            </w:r>
          </w:p>
        </w:tc>
      </w:tr>
      <w:tr w:rsidR="00CE63EE" w:rsidRPr="002F2A33" w14:paraId="6A1FDC3B" w14:textId="77777777" w:rsidTr="00CE63EE">
        <w:trPr>
          <w:cnfStyle w:val="000000010000" w:firstRow="0" w:lastRow="0" w:firstColumn="0" w:lastColumn="0" w:oddVBand="0" w:evenVBand="0" w:oddHBand="0" w:evenHBand="1" w:firstRowFirstColumn="0" w:firstRowLastColumn="0" w:lastRowFirstColumn="0" w:lastRowLastColumn="0"/>
          <w:trHeight w:val="823"/>
        </w:trPr>
        <w:tc>
          <w:tcPr>
            <w:cnfStyle w:val="001000000000" w:firstRow="0" w:lastRow="0" w:firstColumn="1" w:lastColumn="0" w:oddVBand="0" w:evenVBand="0" w:oddHBand="0" w:evenHBand="0" w:firstRowFirstColumn="0" w:firstRowLastColumn="0" w:lastRowFirstColumn="0" w:lastRowLastColumn="0"/>
            <w:tcW w:w="3544" w:type="dxa"/>
          </w:tcPr>
          <w:p w14:paraId="297CC0B4" w14:textId="77777777" w:rsidR="00CE63EE" w:rsidRPr="002F2A33" w:rsidRDefault="00CE63EE">
            <w:pPr>
              <w:pStyle w:val="NormalWeb"/>
              <w:spacing w:before="96" w:beforeAutospacing="0" w:after="0" w:afterAutospacing="0" w:line="216" w:lineRule="auto"/>
              <w:textAlignment w:val="baseline"/>
              <w:rPr>
                <w:rFonts w:asciiTheme="majorHAnsi" w:hAnsiTheme="majorHAnsi" w:cs="Arial"/>
                <w:sz w:val="22"/>
                <w:szCs w:val="22"/>
              </w:rPr>
            </w:pPr>
            <w:r w:rsidRPr="002F2A33">
              <w:rPr>
                <w:rFonts w:asciiTheme="majorHAnsi" w:hAnsiTheme="majorHAnsi" w:cs="Arial"/>
                <w:color w:val="000000" w:themeColor="text1"/>
                <w:kern w:val="24"/>
                <w:sz w:val="22"/>
                <w:szCs w:val="22"/>
              </w:rPr>
              <w:t xml:space="preserve">% de patients avec </w:t>
            </w:r>
            <w:r w:rsidRPr="002F2A33">
              <w:rPr>
                <w:rFonts w:asciiTheme="majorHAnsi" w:hAnsiTheme="majorHAnsi" w:cs="Arial"/>
                <w:bCs w:val="0"/>
                <w:kern w:val="24"/>
                <w:sz w:val="22"/>
                <w:szCs w:val="22"/>
              </w:rPr>
              <w:t>MCII</w:t>
            </w:r>
            <w:r w:rsidRPr="002F2A33">
              <w:rPr>
                <w:rFonts w:asciiTheme="majorHAnsi" w:hAnsiTheme="majorHAnsi" w:cs="Arial"/>
                <w:color w:val="000000" w:themeColor="text1"/>
                <w:kern w:val="24"/>
                <w:sz w:val="22"/>
                <w:szCs w:val="22"/>
              </w:rPr>
              <w:t xml:space="preserve"> (%) ≥ 40.8 % de mieux</w:t>
            </w:r>
          </w:p>
        </w:tc>
        <w:tc>
          <w:tcPr>
            <w:tcW w:w="1559" w:type="dxa"/>
          </w:tcPr>
          <w:p w14:paraId="31F98A8A" w14:textId="77777777" w:rsidR="00CE63EE" w:rsidRPr="002F2A33" w:rsidRDefault="00CE63EE" w:rsidP="00CE63EE">
            <w:pPr>
              <w:pStyle w:val="NormalWeb"/>
              <w:spacing w:before="96" w:beforeAutospacing="0" w:after="0" w:afterAutospacing="0" w:line="216" w:lineRule="auto"/>
              <w:textAlignment w:val="baseline"/>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22"/>
                <w:szCs w:val="22"/>
              </w:rPr>
            </w:pPr>
            <w:r w:rsidRPr="002F2A33">
              <w:rPr>
                <w:rFonts w:asciiTheme="majorHAnsi" w:hAnsiTheme="majorHAnsi" w:cs="Arial"/>
                <w:color w:val="000000"/>
                <w:kern w:val="24"/>
                <w:sz w:val="22"/>
                <w:szCs w:val="22"/>
              </w:rPr>
              <w:t>83 (69.7 %)</w:t>
            </w:r>
          </w:p>
        </w:tc>
        <w:tc>
          <w:tcPr>
            <w:tcW w:w="1701" w:type="dxa"/>
          </w:tcPr>
          <w:p w14:paraId="4D449F1B" w14:textId="77777777" w:rsidR="00CE63EE" w:rsidRPr="002F2A33" w:rsidRDefault="00CE63EE" w:rsidP="00CE63EE">
            <w:pPr>
              <w:pStyle w:val="NormalWeb"/>
              <w:spacing w:before="96" w:beforeAutospacing="0" w:after="0" w:afterAutospacing="0" w:line="216" w:lineRule="auto"/>
              <w:textAlignment w:val="baseline"/>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22"/>
                <w:szCs w:val="22"/>
              </w:rPr>
            </w:pPr>
            <w:r w:rsidRPr="002F2A33">
              <w:rPr>
                <w:rFonts w:asciiTheme="majorHAnsi" w:hAnsiTheme="majorHAnsi" w:cs="Arial"/>
                <w:color w:val="000000"/>
                <w:kern w:val="24"/>
                <w:sz w:val="22"/>
                <w:szCs w:val="22"/>
              </w:rPr>
              <w:t>83 (70.9 %)</w:t>
            </w:r>
          </w:p>
        </w:tc>
        <w:tc>
          <w:tcPr>
            <w:tcW w:w="2694" w:type="dxa"/>
          </w:tcPr>
          <w:p w14:paraId="5C98B9E1" w14:textId="77777777" w:rsidR="00CE63EE" w:rsidRPr="002F2A33" w:rsidRDefault="00CE63EE" w:rsidP="00CE63EE">
            <w:pPr>
              <w:pStyle w:val="NormalWeb"/>
              <w:spacing w:before="96" w:beforeAutospacing="0" w:after="0" w:afterAutospacing="0" w:line="216" w:lineRule="auto"/>
              <w:textAlignment w:val="baseline"/>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22"/>
                <w:szCs w:val="22"/>
              </w:rPr>
            </w:pPr>
            <w:r w:rsidRPr="002F2A33">
              <w:rPr>
                <w:rFonts w:asciiTheme="majorHAnsi" w:hAnsiTheme="majorHAnsi" w:cs="Arial"/>
                <w:color w:val="000000"/>
                <w:kern w:val="24"/>
                <w:sz w:val="22"/>
                <w:szCs w:val="22"/>
              </w:rPr>
              <w:t>166 (70.3 %)</w:t>
            </w:r>
          </w:p>
        </w:tc>
      </w:tr>
      <w:tr w:rsidR="00CE63EE" w:rsidRPr="002F2A33" w14:paraId="3AA503FB" w14:textId="77777777" w:rsidTr="00CE63EE">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3544" w:type="dxa"/>
          </w:tcPr>
          <w:p w14:paraId="6350A80F" w14:textId="77777777" w:rsidR="00CE63EE" w:rsidRPr="002F2A33" w:rsidRDefault="00CE63EE">
            <w:pPr>
              <w:pStyle w:val="NormalWeb"/>
              <w:spacing w:before="96" w:beforeAutospacing="0" w:after="0" w:afterAutospacing="0" w:line="216" w:lineRule="auto"/>
              <w:textAlignment w:val="baseline"/>
              <w:rPr>
                <w:rFonts w:asciiTheme="majorHAnsi" w:hAnsiTheme="majorHAnsi" w:cs="Arial"/>
                <w:sz w:val="22"/>
                <w:szCs w:val="22"/>
              </w:rPr>
            </w:pPr>
            <w:r w:rsidRPr="002F2A33">
              <w:rPr>
                <w:rFonts w:asciiTheme="majorHAnsi" w:hAnsiTheme="majorHAnsi" w:cs="Arial"/>
                <w:color w:val="000000" w:themeColor="text1"/>
                <w:kern w:val="24"/>
                <w:sz w:val="22"/>
                <w:szCs w:val="22"/>
              </w:rPr>
              <w:t xml:space="preserve">% de patients au </w:t>
            </w:r>
            <w:r w:rsidRPr="002F2A33">
              <w:rPr>
                <w:rFonts w:asciiTheme="majorHAnsi" w:hAnsiTheme="majorHAnsi" w:cs="Arial"/>
                <w:bCs w:val="0"/>
                <w:kern w:val="24"/>
                <w:sz w:val="22"/>
                <w:szCs w:val="22"/>
              </w:rPr>
              <w:t>PASS</w:t>
            </w:r>
            <w:r w:rsidRPr="002F2A33">
              <w:rPr>
                <w:rFonts w:asciiTheme="majorHAnsi" w:hAnsiTheme="majorHAnsi" w:cs="Arial"/>
                <w:color w:val="000000" w:themeColor="text1"/>
                <w:kern w:val="24"/>
                <w:sz w:val="22"/>
                <w:szCs w:val="22"/>
              </w:rPr>
              <w:t xml:space="preserve"> ≤ 32.3 mm</w:t>
            </w:r>
          </w:p>
        </w:tc>
        <w:tc>
          <w:tcPr>
            <w:tcW w:w="1559" w:type="dxa"/>
          </w:tcPr>
          <w:p w14:paraId="284C457B" w14:textId="77777777" w:rsidR="00CE63EE" w:rsidRPr="002F2A33" w:rsidRDefault="00CE63EE" w:rsidP="00CE63EE">
            <w:pPr>
              <w:pStyle w:val="NormalWeb"/>
              <w:spacing w:before="96" w:beforeAutospacing="0" w:after="0" w:afterAutospacing="0" w:line="216" w:lineRule="auto"/>
              <w:textAlignment w:val="baseline"/>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rPr>
            </w:pPr>
            <w:r w:rsidRPr="002F2A33">
              <w:rPr>
                <w:rFonts w:asciiTheme="majorHAnsi" w:hAnsiTheme="majorHAnsi" w:cs="Arial"/>
                <w:color w:val="000000"/>
                <w:kern w:val="24"/>
                <w:sz w:val="22"/>
                <w:szCs w:val="22"/>
              </w:rPr>
              <w:t>71 (59.7 %)</w:t>
            </w:r>
          </w:p>
        </w:tc>
        <w:tc>
          <w:tcPr>
            <w:tcW w:w="1701" w:type="dxa"/>
          </w:tcPr>
          <w:p w14:paraId="11124718" w14:textId="77777777" w:rsidR="00CE63EE" w:rsidRPr="002F2A33" w:rsidRDefault="00CE63EE" w:rsidP="00CE63EE">
            <w:pPr>
              <w:pStyle w:val="NormalWeb"/>
              <w:spacing w:before="96" w:beforeAutospacing="0" w:after="0" w:afterAutospacing="0" w:line="216" w:lineRule="auto"/>
              <w:textAlignment w:val="baseline"/>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rPr>
            </w:pPr>
            <w:r w:rsidRPr="002F2A33">
              <w:rPr>
                <w:rFonts w:asciiTheme="majorHAnsi" w:hAnsiTheme="majorHAnsi" w:cs="Arial"/>
                <w:color w:val="000000"/>
                <w:kern w:val="24"/>
                <w:sz w:val="22"/>
                <w:szCs w:val="22"/>
              </w:rPr>
              <w:t>78 (66.7 %)</w:t>
            </w:r>
          </w:p>
        </w:tc>
        <w:tc>
          <w:tcPr>
            <w:tcW w:w="2694" w:type="dxa"/>
          </w:tcPr>
          <w:p w14:paraId="053E1B2B" w14:textId="77777777" w:rsidR="00CE63EE" w:rsidRPr="002F2A33" w:rsidRDefault="00CE63EE" w:rsidP="00CE63EE">
            <w:pPr>
              <w:pStyle w:val="NormalWeb"/>
              <w:spacing w:before="96" w:beforeAutospacing="0" w:after="0" w:afterAutospacing="0" w:line="216" w:lineRule="auto"/>
              <w:textAlignment w:val="baseline"/>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2"/>
                <w:szCs w:val="22"/>
              </w:rPr>
            </w:pPr>
            <w:r w:rsidRPr="002F2A33">
              <w:rPr>
                <w:rFonts w:asciiTheme="majorHAnsi" w:hAnsiTheme="majorHAnsi" w:cs="Arial"/>
                <w:color w:val="000000"/>
                <w:kern w:val="24"/>
                <w:sz w:val="22"/>
                <w:szCs w:val="22"/>
              </w:rPr>
              <w:t>149 (63.1 %)</w:t>
            </w:r>
          </w:p>
        </w:tc>
      </w:tr>
      <w:tr w:rsidR="00CE63EE" w:rsidRPr="002F2A33" w14:paraId="0201B465" w14:textId="77777777" w:rsidTr="00CE63EE">
        <w:trPr>
          <w:cnfStyle w:val="000000010000" w:firstRow="0" w:lastRow="0" w:firstColumn="0" w:lastColumn="0" w:oddVBand="0" w:evenVBand="0" w:oddHBand="0" w:evenHBand="1"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3544" w:type="dxa"/>
          </w:tcPr>
          <w:p w14:paraId="67969956" w14:textId="77777777" w:rsidR="00CE63EE" w:rsidRPr="002F2A33" w:rsidRDefault="00CE63EE">
            <w:pPr>
              <w:pStyle w:val="NormalWeb"/>
              <w:spacing w:before="0" w:beforeAutospacing="0" w:after="0" w:afterAutospacing="0"/>
              <w:rPr>
                <w:rFonts w:asciiTheme="majorHAnsi" w:hAnsiTheme="majorHAnsi" w:cs="Arial"/>
                <w:sz w:val="22"/>
                <w:szCs w:val="22"/>
              </w:rPr>
            </w:pPr>
            <w:r w:rsidRPr="002F2A33">
              <w:rPr>
                <w:rFonts w:asciiTheme="majorHAnsi" w:hAnsiTheme="majorHAnsi" w:cs="Arial"/>
                <w:color w:val="000000" w:themeColor="dark1"/>
                <w:kern w:val="24"/>
                <w:sz w:val="22"/>
                <w:szCs w:val="22"/>
              </w:rPr>
              <w:t>% répondeurs OMERACT-OARSI</w:t>
            </w:r>
          </w:p>
        </w:tc>
        <w:tc>
          <w:tcPr>
            <w:tcW w:w="1559" w:type="dxa"/>
          </w:tcPr>
          <w:p w14:paraId="17855A53" w14:textId="77777777" w:rsidR="00CE63EE" w:rsidRPr="002F2A33" w:rsidRDefault="00CE63EE" w:rsidP="00CE63EE">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22"/>
                <w:szCs w:val="22"/>
              </w:rPr>
            </w:pPr>
            <w:r w:rsidRPr="002F2A33">
              <w:rPr>
                <w:rFonts w:asciiTheme="majorHAnsi" w:hAnsiTheme="majorHAnsi" w:cs="Arial"/>
                <w:color w:val="000000" w:themeColor="dark1"/>
                <w:kern w:val="24"/>
                <w:sz w:val="22"/>
                <w:szCs w:val="22"/>
              </w:rPr>
              <w:t>77 (64.7 %)</w:t>
            </w:r>
          </w:p>
        </w:tc>
        <w:tc>
          <w:tcPr>
            <w:tcW w:w="1701" w:type="dxa"/>
          </w:tcPr>
          <w:p w14:paraId="71E6F312" w14:textId="77777777" w:rsidR="00CE63EE" w:rsidRPr="002F2A33" w:rsidRDefault="00CE63EE" w:rsidP="00CE63EE">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22"/>
                <w:szCs w:val="22"/>
              </w:rPr>
            </w:pPr>
            <w:r w:rsidRPr="002F2A33">
              <w:rPr>
                <w:rFonts w:asciiTheme="majorHAnsi" w:hAnsiTheme="majorHAnsi" w:cs="Arial"/>
                <w:color w:val="000000" w:themeColor="dark1"/>
                <w:kern w:val="24"/>
                <w:sz w:val="22"/>
                <w:szCs w:val="22"/>
              </w:rPr>
              <w:t>79 (67.5 %)</w:t>
            </w:r>
          </w:p>
        </w:tc>
        <w:tc>
          <w:tcPr>
            <w:tcW w:w="2694" w:type="dxa"/>
          </w:tcPr>
          <w:p w14:paraId="44080056" w14:textId="77777777" w:rsidR="00CE63EE" w:rsidRPr="002F2A33" w:rsidRDefault="00CE63EE" w:rsidP="00CE63EE">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22"/>
                <w:szCs w:val="22"/>
              </w:rPr>
            </w:pPr>
            <w:r w:rsidRPr="002F2A33">
              <w:rPr>
                <w:rFonts w:asciiTheme="majorHAnsi" w:hAnsiTheme="majorHAnsi" w:cs="Arial"/>
                <w:iCs/>
                <w:color w:val="000000" w:themeColor="dark1"/>
                <w:kern w:val="24"/>
                <w:sz w:val="22"/>
                <w:szCs w:val="22"/>
              </w:rPr>
              <w:t>156 (66,1 %)</w:t>
            </w:r>
          </w:p>
        </w:tc>
      </w:tr>
    </w:tbl>
    <w:p w14:paraId="16722F4E" w14:textId="3E9C4E75" w:rsidR="00CE63EE" w:rsidRPr="002F2A33" w:rsidRDefault="00CE63EE" w:rsidP="00CE63EE">
      <w:pPr>
        <w:rPr>
          <w:rFonts w:asciiTheme="majorHAnsi" w:hAnsiTheme="majorHAnsi"/>
          <w:sz w:val="22"/>
        </w:rPr>
      </w:pPr>
      <w:r w:rsidRPr="002F2A33">
        <w:rPr>
          <w:rFonts w:asciiTheme="majorHAnsi" w:hAnsiTheme="majorHAnsi"/>
          <w:b/>
          <w:bCs/>
          <w:i/>
          <w:iCs/>
          <w:sz w:val="22"/>
        </w:rPr>
        <w:t xml:space="preserve">Tableau 2 : Analyse en % de répondeurs de l’essai Structovial vs Hyalgan. Résultats </w:t>
      </w:r>
      <w:r w:rsidR="002F2A33">
        <w:rPr>
          <w:rFonts w:asciiTheme="majorHAnsi" w:hAnsiTheme="majorHAnsi"/>
          <w:b/>
          <w:bCs/>
          <w:i/>
          <w:iCs/>
          <w:sz w:val="22"/>
        </w:rPr>
        <w:t>-</w:t>
      </w:r>
      <w:r w:rsidRPr="002F2A33">
        <w:rPr>
          <w:rFonts w:asciiTheme="majorHAnsi" w:hAnsiTheme="majorHAnsi"/>
          <w:b/>
          <w:bCs/>
          <w:i/>
          <w:iCs/>
          <w:sz w:val="22"/>
        </w:rPr>
        <w:t xml:space="preserve"> population PP (279 patients, 236 PP) (29)</w:t>
      </w:r>
    </w:p>
    <w:p w14:paraId="358D880C" w14:textId="77777777" w:rsidR="00CE63EE" w:rsidRDefault="00CE63EE" w:rsidP="00CE63EE">
      <w:pPr>
        <w:rPr>
          <w:rFonts w:asciiTheme="majorHAnsi" w:hAnsiTheme="majorHAnsi"/>
        </w:rPr>
      </w:pPr>
    </w:p>
    <w:p w14:paraId="11A9147F" w14:textId="77777777" w:rsidR="00CE63EE" w:rsidRDefault="00CE63EE" w:rsidP="00CE63EE">
      <w:pPr>
        <w:rPr>
          <w:rFonts w:asciiTheme="majorHAnsi" w:hAnsiTheme="majorHAnsi"/>
        </w:rPr>
      </w:pPr>
    </w:p>
    <w:tbl>
      <w:tblPr>
        <w:tblStyle w:val="Tramemoyenne1-Accent1"/>
        <w:tblW w:w="7263" w:type="dxa"/>
        <w:tblInd w:w="108" w:type="dxa"/>
        <w:tblLook w:val="04A0" w:firstRow="1" w:lastRow="0" w:firstColumn="1" w:lastColumn="0" w:noHBand="0" w:noVBand="1"/>
      </w:tblPr>
      <w:tblGrid>
        <w:gridCol w:w="3686"/>
        <w:gridCol w:w="1559"/>
        <w:gridCol w:w="2018"/>
      </w:tblGrid>
      <w:tr w:rsidR="00CE63EE" w:rsidRPr="002F2A33" w14:paraId="282FC813" w14:textId="77777777" w:rsidTr="00CE63EE">
        <w:trPr>
          <w:cnfStyle w:val="100000000000" w:firstRow="1" w:lastRow="0" w:firstColumn="0" w:lastColumn="0" w:oddVBand="0" w:evenVBand="0" w:oddHBand="0"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3686" w:type="dxa"/>
          </w:tcPr>
          <w:p w14:paraId="1E840157" w14:textId="77777777" w:rsidR="00CE63EE" w:rsidRPr="002F2A33" w:rsidRDefault="00CE63EE" w:rsidP="00CE63EE">
            <w:pPr>
              <w:rPr>
                <w:rFonts w:asciiTheme="majorHAnsi" w:hAnsiTheme="majorHAnsi"/>
                <w:color w:val="FFFF00"/>
                <w:sz w:val="22"/>
                <w:szCs w:val="22"/>
              </w:rPr>
            </w:pPr>
            <w:r w:rsidRPr="002F2A33">
              <w:rPr>
                <w:rFonts w:asciiTheme="majorHAnsi" w:hAnsiTheme="majorHAnsi"/>
                <w:color w:val="FFFF00"/>
                <w:sz w:val="22"/>
                <w:szCs w:val="22"/>
              </w:rPr>
              <w:t>Critère</w:t>
            </w:r>
          </w:p>
        </w:tc>
        <w:tc>
          <w:tcPr>
            <w:tcW w:w="1559" w:type="dxa"/>
          </w:tcPr>
          <w:p w14:paraId="493418BB" w14:textId="77777777" w:rsidR="00CE63EE" w:rsidRPr="002F2A33" w:rsidRDefault="00CE63EE" w:rsidP="00CE63EE">
            <w:pPr>
              <w:cnfStyle w:val="100000000000" w:firstRow="1" w:lastRow="0" w:firstColumn="0" w:lastColumn="0" w:oddVBand="0" w:evenVBand="0" w:oddHBand="0" w:evenHBand="0" w:firstRowFirstColumn="0" w:firstRowLastColumn="0" w:lastRowFirstColumn="0" w:lastRowLastColumn="0"/>
              <w:rPr>
                <w:rFonts w:asciiTheme="majorHAnsi" w:hAnsiTheme="majorHAnsi"/>
                <w:color w:val="FFFF00"/>
                <w:sz w:val="22"/>
                <w:szCs w:val="22"/>
              </w:rPr>
            </w:pPr>
            <w:r w:rsidRPr="002F2A33">
              <w:rPr>
                <w:rFonts w:asciiTheme="majorHAnsi" w:hAnsiTheme="majorHAnsi"/>
                <w:color w:val="FFFF00"/>
                <w:sz w:val="22"/>
                <w:szCs w:val="22"/>
              </w:rPr>
              <w:t>Sinovial</w:t>
            </w:r>
          </w:p>
          <w:p w14:paraId="6EA5ABA0" w14:textId="77777777" w:rsidR="00CE63EE" w:rsidRPr="002F2A33" w:rsidRDefault="00CE63EE" w:rsidP="00CE63EE">
            <w:pPr>
              <w:cnfStyle w:val="100000000000" w:firstRow="1" w:lastRow="0" w:firstColumn="0" w:lastColumn="0" w:oddVBand="0" w:evenVBand="0" w:oddHBand="0" w:evenHBand="0" w:firstRowFirstColumn="0" w:firstRowLastColumn="0" w:lastRowFirstColumn="0" w:lastRowLastColumn="0"/>
              <w:rPr>
                <w:rFonts w:asciiTheme="majorHAnsi" w:hAnsiTheme="majorHAnsi"/>
                <w:color w:val="FFFF00"/>
                <w:sz w:val="22"/>
                <w:szCs w:val="22"/>
              </w:rPr>
            </w:pPr>
            <w:r w:rsidRPr="002F2A33">
              <w:rPr>
                <w:rFonts w:asciiTheme="majorHAnsi" w:hAnsiTheme="majorHAnsi"/>
                <w:color w:val="FFFF00"/>
                <w:sz w:val="22"/>
                <w:szCs w:val="22"/>
              </w:rPr>
              <w:t>N = 183</w:t>
            </w:r>
          </w:p>
        </w:tc>
        <w:tc>
          <w:tcPr>
            <w:tcW w:w="2018" w:type="dxa"/>
          </w:tcPr>
          <w:p w14:paraId="64B61654" w14:textId="77777777" w:rsidR="00CE63EE" w:rsidRPr="002F2A33" w:rsidRDefault="00CE63EE" w:rsidP="00CE63EE">
            <w:pPr>
              <w:cnfStyle w:val="100000000000" w:firstRow="1" w:lastRow="0" w:firstColumn="0" w:lastColumn="0" w:oddVBand="0" w:evenVBand="0" w:oddHBand="0" w:evenHBand="0" w:firstRowFirstColumn="0" w:firstRowLastColumn="0" w:lastRowFirstColumn="0" w:lastRowLastColumn="0"/>
              <w:rPr>
                <w:rFonts w:asciiTheme="majorHAnsi" w:hAnsiTheme="majorHAnsi"/>
                <w:color w:val="FFFF00"/>
                <w:sz w:val="22"/>
                <w:szCs w:val="22"/>
              </w:rPr>
            </w:pPr>
            <w:r w:rsidRPr="002F2A33">
              <w:rPr>
                <w:rFonts w:asciiTheme="majorHAnsi" w:hAnsiTheme="majorHAnsi"/>
                <w:color w:val="FFFF00"/>
                <w:sz w:val="22"/>
                <w:szCs w:val="22"/>
              </w:rPr>
              <w:t>Synvisc</w:t>
            </w:r>
          </w:p>
          <w:p w14:paraId="38838270" w14:textId="77777777" w:rsidR="00CE63EE" w:rsidRPr="002F2A33" w:rsidRDefault="00CE63EE" w:rsidP="00CE63EE">
            <w:pPr>
              <w:cnfStyle w:val="100000000000" w:firstRow="1" w:lastRow="0" w:firstColumn="0" w:lastColumn="0" w:oddVBand="0" w:evenVBand="0" w:oddHBand="0" w:evenHBand="0" w:firstRowFirstColumn="0" w:firstRowLastColumn="0" w:lastRowFirstColumn="0" w:lastRowLastColumn="0"/>
              <w:rPr>
                <w:rFonts w:asciiTheme="majorHAnsi" w:hAnsiTheme="majorHAnsi"/>
                <w:color w:val="FFFF00"/>
                <w:sz w:val="22"/>
                <w:szCs w:val="22"/>
              </w:rPr>
            </w:pPr>
            <w:r w:rsidRPr="002F2A33">
              <w:rPr>
                <w:rFonts w:asciiTheme="majorHAnsi" w:hAnsiTheme="majorHAnsi"/>
                <w:color w:val="FFFF00"/>
                <w:sz w:val="22"/>
                <w:szCs w:val="22"/>
              </w:rPr>
              <w:t>N = 171</w:t>
            </w:r>
          </w:p>
        </w:tc>
      </w:tr>
      <w:tr w:rsidR="00CE63EE" w:rsidRPr="002F2A33" w14:paraId="1BFBFE2E" w14:textId="77777777" w:rsidTr="00CE63EE">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3686" w:type="dxa"/>
          </w:tcPr>
          <w:p w14:paraId="4C1B3C05" w14:textId="77777777" w:rsidR="00CE63EE" w:rsidRPr="002F2A33" w:rsidRDefault="00CE63EE" w:rsidP="00CE63EE">
            <w:pPr>
              <w:pStyle w:val="NormalWeb"/>
              <w:spacing w:before="0" w:beforeAutospacing="0" w:after="0" w:afterAutospacing="0"/>
              <w:rPr>
                <w:rFonts w:asciiTheme="majorHAnsi" w:hAnsiTheme="majorHAnsi" w:cs="Arial"/>
                <w:sz w:val="22"/>
                <w:szCs w:val="22"/>
              </w:rPr>
            </w:pPr>
            <w:r w:rsidRPr="002F2A33">
              <w:rPr>
                <w:rFonts w:asciiTheme="majorHAnsi" w:hAnsiTheme="majorHAnsi" w:cs="Arial"/>
                <w:color w:val="000000" w:themeColor="dark1"/>
                <w:kern w:val="24"/>
                <w:sz w:val="22"/>
                <w:szCs w:val="22"/>
              </w:rPr>
              <w:t>% répondeurs OMERACT-OARSI</w:t>
            </w:r>
          </w:p>
        </w:tc>
        <w:tc>
          <w:tcPr>
            <w:tcW w:w="1559" w:type="dxa"/>
          </w:tcPr>
          <w:p w14:paraId="4BDA71B8" w14:textId="77777777" w:rsidR="00CE63EE" w:rsidRPr="002F2A33" w:rsidRDefault="00CE63EE" w:rsidP="00CE63EE">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2F2A33">
              <w:rPr>
                <w:rFonts w:asciiTheme="majorHAnsi" w:hAnsiTheme="majorHAnsi"/>
                <w:sz w:val="22"/>
                <w:szCs w:val="22"/>
              </w:rPr>
              <w:t>87,4 %</w:t>
            </w:r>
          </w:p>
        </w:tc>
        <w:tc>
          <w:tcPr>
            <w:tcW w:w="2018" w:type="dxa"/>
          </w:tcPr>
          <w:p w14:paraId="16497AE2" w14:textId="77777777" w:rsidR="00CE63EE" w:rsidRPr="002F2A33" w:rsidRDefault="00CE63EE" w:rsidP="00CE63EE">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2F2A33">
              <w:rPr>
                <w:rFonts w:asciiTheme="majorHAnsi" w:hAnsiTheme="majorHAnsi"/>
                <w:sz w:val="22"/>
                <w:szCs w:val="22"/>
              </w:rPr>
              <w:t>86,0 %</w:t>
            </w:r>
          </w:p>
        </w:tc>
      </w:tr>
    </w:tbl>
    <w:p w14:paraId="2D52E887" w14:textId="72039C14" w:rsidR="00CE63EE" w:rsidRPr="002F2A33" w:rsidRDefault="00CE63EE" w:rsidP="00CE63EE">
      <w:pPr>
        <w:rPr>
          <w:rFonts w:asciiTheme="majorHAnsi" w:hAnsiTheme="majorHAnsi"/>
          <w:b/>
          <w:bCs/>
          <w:i/>
          <w:iCs/>
          <w:sz w:val="22"/>
          <w:szCs w:val="22"/>
        </w:rPr>
      </w:pPr>
      <w:r w:rsidRPr="002F2A33">
        <w:rPr>
          <w:rFonts w:asciiTheme="majorHAnsi" w:hAnsiTheme="majorHAnsi"/>
          <w:b/>
          <w:bCs/>
          <w:i/>
          <w:iCs/>
          <w:sz w:val="22"/>
          <w:szCs w:val="22"/>
        </w:rPr>
        <w:lastRenderedPageBreak/>
        <w:t xml:space="preserve">Tableau 3 : Analyse en % de répondeurs OMERACT-OARSI de l’essai Sinovial vs Synvisc. Résultats </w:t>
      </w:r>
      <w:r w:rsidR="002F2A33">
        <w:rPr>
          <w:rFonts w:asciiTheme="majorHAnsi" w:hAnsiTheme="majorHAnsi"/>
          <w:b/>
          <w:bCs/>
          <w:i/>
          <w:iCs/>
          <w:sz w:val="22"/>
          <w:szCs w:val="22"/>
        </w:rPr>
        <w:t>-</w:t>
      </w:r>
      <w:r w:rsidRPr="002F2A33">
        <w:rPr>
          <w:rFonts w:asciiTheme="majorHAnsi" w:hAnsiTheme="majorHAnsi"/>
          <w:b/>
          <w:bCs/>
          <w:i/>
          <w:iCs/>
          <w:sz w:val="22"/>
          <w:szCs w:val="22"/>
        </w:rPr>
        <w:t xml:space="preserve"> population PP (279 patients, 236 PP) (30)</w:t>
      </w:r>
    </w:p>
    <w:p w14:paraId="60AF5743" w14:textId="77777777" w:rsidR="00CE63EE" w:rsidRDefault="00CE63EE" w:rsidP="00CE63EE">
      <w:pPr>
        <w:rPr>
          <w:rFonts w:asciiTheme="majorHAnsi" w:hAnsiTheme="majorHAnsi"/>
          <w:b/>
          <w:bCs/>
          <w:i/>
          <w:iCs/>
        </w:rPr>
      </w:pPr>
    </w:p>
    <w:p w14:paraId="41B38579" w14:textId="59D7B191" w:rsidR="00CE63EE" w:rsidRDefault="00CE63EE" w:rsidP="00CE63EE">
      <w:pPr>
        <w:rPr>
          <w:rFonts w:asciiTheme="majorHAnsi" w:hAnsiTheme="majorHAnsi"/>
          <w:b/>
          <w:bCs/>
          <w:i/>
          <w:iCs/>
        </w:rPr>
      </w:pPr>
      <w:r>
        <w:rPr>
          <w:rFonts w:asciiTheme="majorHAnsi" w:hAnsiTheme="majorHAnsi"/>
          <w:b/>
          <w:bCs/>
          <w:i/>
          <w:iCs/>
        </w:rPr>
        <w:t xml:space="preserve">Critique de la méta-analyse d’A. Rutjes </w:t>
      </w:r>
      <w:r w:rsidR="00786078">
        <w:rPr>
          <w:rFonts w:asciiTheme="majorHAnsi" w:hAnsiTheme="majorHAnsi"/>
          <w:b/>
          <w:bCs/>
          <w:i/>
          <w:iCs/>
          <w:noProof/>
        </w:rPr>
        <w:t>(22</w:t>
      </w:r>
      <w:r>
        <w:rPr>
          <w:rFonts w:asciiTheme="majorHAnsi" w:hAnsiTheme="majorHAnsi"/>
          <w:b/>
          <w:bCs/>
          <w:i/>
          <w:iCs/>
          <w:noProof/>
        </w:rPr>
        <w:t>)</w:t>
      </w:r>
    </w:p>
    <w:p w14:paraId="1F144E86" w14:textId="77777777" w:rsidR="00CE63EE" w:rsidRPr="009D31AC" w:rsidRDefault="00CE63EE" w:rsidP="00CE63EE">
      <w:pPr>
        <w:rPr>
          <w:rFonts w:asciiTheme="majorHAnsi" w:hAnsiTheme="majorHAnsi"/>
        </w:rPr>
      </w:pPr>
    </w:p>
    <w:p w14:paraId="69151CCE" w14:textId="3116E984" w:rsidR="00CE63EE" w:rsidRPr="009D31AC" w:rsidRDefault="00CE63EE" w:rsidP="00CE63EE">
      <w:pPr>
        <w:rPr>
          <w:rFonts w:asciiTheme="majorHAnsi" w:hAnsiTheme="majorHAnsi"/>
        </w:rPr>
      </w:pPr>
      <w:r w:rsidRPr="009D31AC">
        <w:rPr>
          <w:rFonts w:asciiTheme="majorHAnsi" w:hAnsiTheme="majorHAnsi"/>
        </w:rPr>
        <w:t xml:space="preserve">Les auteurs de la méta-analyse ont déjà publié une étude multicentrique comparant 3 AH </w:t>
      </w:r>
      <w:r w:rsidR="00786078">
        <w:rPr>
          <w:rFonts w:asciiTheme="majorHAnsi" w:hAnsiTheme="majorHAnsi"/>
          <w:noProof/>
        </w:rPr>
        <w:t>(31</w:t>
      </w:r>
      <w:r>
        <w:rPr>
          <w:rFonts w:asciiTheme="majorHAnsi" w:hAnsiTheme="majorHAnsi"/>
          <w:noProof/>
        </w:rPr>
        <w:t>)</w:t>
      </w:r>
      <w:r w:rsidRPr="009D31AC">
        <w:rPr>
          <w:rFonts w:asciiTheme="majorHAnsi" w:hAnsiTheme="majorHAnsi"/>
        </w:rPr>
        <w:t xml:space="preserve"> qui a déjà fait l’objet de critiques </w:t>
      </w:r>
      <w:r w:rsidR="00786078">
        <w:rPr>
          <w:rFonts w:asciiTheme="majorHAnsi" w:hAnsiTheme="majorHAnsi"/>
          <w:noProof/>
        </w:rPr>
        <w:t>(32</w:t>
      </w:r>
      <w:r>
        <w:rPr>
          <w:rFonts w:asciiTheme="majorHAnsi" w:hAnsiTheme="majorHAnsi"/>
          <w:noProof/>
        </w:rPr>
        <w:t>)</w:t>
      </w:r>
      <w:r>
        <w:rPr>
          <w:rFonts w:asciiTheme="majorHAnsi" w:hAnsiTheme="majorHAnsi"/>
        </w:rPr>
        <w:t xml:space="preserve"> </w:t>
      </w:r>
      <w:r w:rsidRPr="009D31AC">
        <w:rPr>
          <w:rFonts w:asciiTheme="majorHAnsi" w:hAnsiTheme="majorHAnsi"/>
        </w:rPr>
        <w:t>et une méta-analyse comparant Hylan</w:t>
      </w:r>
      <w:r>
        <w:rPr>
          <w:rFonts w:asciiTheme="majorHAnsi" w:hAnsiTheme="majorHAnsi"/>
        </w:rPr>
        <w:t>es</w:t>
      </w:r>
      <w:r w:rsidR="00152081">
        <w:rPr>
          <w:rFonts w:asciiTheme="majorHAnsi" w:hAnsiTheme="majorHAnsi"/>
        </w:rPr>
        <w:t xml:space="preserve"> et AH de bas poids moléculaire (PM)</w:t>
      </w:r>
      <w:r w:rsidRPr="009D31AC">
        <w:rPr>
          <w:rFonts w:asciiTheme="majorHAnsi" w:hAnsiTheme="majorHAnsi"/>
        </w:rPr>
        <w:t xml:space="preserve"> </w:t>
      </w:r>
      <w:r w:rsidR="00786078">
        <w:rPr>
          <w:rFonts w:asciiTheme="majorHAnsi" w:hAnsiTheme="majorHAnsi"/>
          <w:noProof/>
        </w:rPr>
        <w:t>(19</w:t>
      </w:r>
      <w:r>
        <w:rPr>
          <w:rFonts w:asciiTheme="majorHAnsi" w:hAnsiTheme="majorHAnsi"/>
          <w:noProof/>
        </w:rPr>
        <w:t>)</w:t>
      </w:r>
      <w:r w:rsidRPr="009D31AC">
        <w:rPr>
          <w:rFonts w:asciiTheme="majorHAnsi" w:hAnsiTheme="majorHAnsi"/>
        </w:rPr>
        <w:t xml:space="preserve">, les deux articles visant essentiellement le Synvisc </w:t>
      </w:r>
      <w:r>
        <w:rPr>
          <w:rFonts w:asciiTheme="majorHAnsi" w:hAnsiTheme="majorHAnsi"/>
        </w:rPr>
        <w:t xml:space="preserve">(Hylan G-F 20) </w:t>
      </w:r>
      <w:r w:rsidRPr="009D31AC">
        <w:rPr>
          <w:rFonts w:asciiTheme="majorHAnsi" w:hAnsiTheme="majorHAnsi"/>
        </w:rPr>
        <w:t xml:space="preserve">auquel ils reprochent plus d’effets indésirables. </w:t>
      </w:r>
    </w:p>
    <w:p w14:paraId="69FEF887" w14:textId="77777777" w:rsidR="00CE63EE" w:rsidRPr="009D31AC" w:rsidRDefault="00CE63EE" w:rsidP="00CE63EE">
      <w:pPr>
        <w:rPr>
          <w:rFonts w:asciiTheme="majorHAnsi" w:hAnsiTheme="majorHAnsi"/>
        </w:rPr>
      </w:pPr>
    </w:p>
    <w:p w14:paraId="7591503F" w14:textId="57092D3E" w:rsidR="00CE63EE" w:rsidRPr="009D31AC" w:rsidRDefault="00CE63EE" w:rsidP="00CE63EE">
      <w:pPr>
        <w:rPr>
          <w:rFonts w:asciiTheme="majorHAnsi" w:hAnsiTheme="majorHAnsi"/>
        </w:rPr>
      </w:pPr>
      <w:r w:rsidRPr="009D31AC">
        <w:rPr>
          <w:rFonts w:asciiTheme="majorHAnsi" w:hAnsiTheme="majorHAnsi"/>
        </w:rPr>
        <w:t>Les conflits d’intérêt potentiels</w:t>
      </w:r>
      <w:r>
        <w:rPr>
          <w:rFonts w:asciiTheme="majorHAnsi" w:hAnsiTheme="majorHAnsi"/>
        </w:rPr>
        <w:t> </w:t>
      </w:r>
      <w:r w:rsidRPr="009D31AC">
        <w:rPr>
          <w:rFonts w:asciiTheme="majorHAnsi" w:hAnsiTheme="majorHAnsi"/>
        </w:rPr>
        <w:t>: il n’y a pas de lien déclaré avec l’industrie pharmaceutique, mais le lien où ces conflits potentiels sont listés est vide sur ARD</w:t>
      </w:r>
      <w:r>
        <w:rPr>
          <w:rFonts w:asciiTheme="majorHAnsi" w:hAnsiTheme="majorHAnsi"/>
        </w:rPr>
        <w:t> </w:t>
      </w:r>
      <w:r w:rsidRPr="009D31AC">
        <w:rPr>
          <w:rFonts w:asciiTheme="majorHAnsi" w:hAnsiTheme="majorHAnsi"/>
        </w:rPr>
        <w:t>; en revanche il y a des liens avec une société</w:t>
      </w:r>
      <w:r>
        <w:rPr>
          <w:rFonts w:asciiTheme="majorHAnsi" w:hAnsiTheme="majorHAnsi"/>
        </w:rPr>
        <w:t xml:space="preserve"> financière</w:t>
      </w:r>
      <w:r w:rsidRPr="009D31AC">
        <w:rPr>
          <w:rFonts w:asciiTheme="majorHAnsi" w:hAnsiTheme="majorHAnsi"/>
        </w:rPr>
        <w:t xml:space="preserve"> </w:t>
      </w:r>
      <w:r w:rsidR="00152081">
        <w:rPr>
          <w:rFonts w:asciiTheme="majorHAnsi" w:hAnsiTheme="majorHAnsi"/>
        </w:rPr>
        <w:t xml:space="preserve">et assurantielle </w:t>
      </w:r>
      <w:r w:rsidRPr="009D31AC">
        <w:rPr>
          <w:rFonts w:asciiTheme="majorHAnsi" w:hAnsiTheme="majorHAnsi"/>
        </w:rPr>
        <w:t>au</w:t>
      </w:r>
      <w:r>
        <w:rPr>
          <w:rFonts w:asciiTheme="majorHAnsi" w:hAnsiTheme="majorHAnsi"/>
        </w:rPr>
        <w:t>x</w:t>
      </w:r>
      <w:r w:rsidRPr="009D31AC">
        <w:rPr>
          <w:rFonts w:asciiTheme="majorHAnsi" w:hAnsiTheme="majorHAnsi"/>
        </w:rPr>
        <w:t xml:space="preserve"> contour</w:t>
      </w:r>
      <w:r>
        <w:rPr>
          <w:rFonts w:asciiTheme="majorHAnsi" w:hAnsiTheme="majorHAnsi"/>
        </w:rPr>
        <w:t>s</w:t>
      </w:r>
      <w:r w:rsidRPr="009D31AC">
        <w:rPr>
          <w:rFonts w:asciiTheme="majorHAnsi" w:hAnsiTheme="majorHAnsi"/>
        </w:rPr>
        <w:t xml:space="preserve"> flou</w:t>
      </w:r>
      <w:r>
        <w:rPr>
          <w:rFonts w:asciiTheme="majorHAnsi" w:hAnsiTheme="majorHAnsi"/>
        </w:rPr>
        <w:t>s</w:t>
      </w:r>
      <w:r w:rsidRPr="009D31AC">
        <w:rPr>
          <w:rFonts w:asciiTheme="majorHAnsi" w:hAnsiTheme="majorHAnsi"/>
        </w:rPr>
        <w:t xml:space="preserve"> (ARCO) et une fondation scientifique nationale Suisse.</w:t>
      </w:r>
    </w:p>
    <w:p w14:paraId="62C06EBB" w14:textId="77777777" w:rsidR="00CE63EE" w:rsidRPr="009D31AC" w:rsidRDefault="00CE63EE" w:rsidP="00CE63EE">
      <w:pPr>
        <w:rPr>
          <w:rFonts w:asciiTheme="majorHAnsi" w:hAnsiTheme="majorHAnsi"/>
        </w:rPr>
      </w:pPr>
    </w:p>
    <w:p w14:paraId="0B64E0DE" w14:textId="1A580BB8" w:rsidR="00CE63EE" w:rsidRPr="009D31AC" w:rsidRDefault="00CE63EE" w:rsidP="00CE63EE">
      <w:pPr>
        <w:rPr>
          <w:rFonts w:asciiTheme="majorHAnsi" w:hAnsiTheme="majorHAnsi"/>
        </w:rPr>
      </w:pPr>
      <w:r w:rsidRPr="009D31AC">
        <w:rPr>
          <w:rFonts w:asciiTheme="majorHAnsi" w:hAnsiTheme="majorHAnsi"/>
        </w:rPr>
        <w:t>L’effet taille exigé est - 0,37 pour une signif</w:t>
      </w:r>
      <w:r w:rsidR="00152081">
        <w:rPr>
          <w:rFonts w:asciiTheme="majorHAnsi" w:hAnsiTheme="majorHAnsi"/>
        </w:rPr>
        <w:t>ication clinique minimale de 9</w:t>
      </w:r>
      <w:r>
        <w:rPr>
          <w:rFonts w:asciiTheme="majorHAnsi" w:hAnsiTheme="majorHAnsi"/>
        </w:rPr>
        <w:t> </w:t>
      </w:r>
      <w:r w:rsidR="00152081">
        <w:rPr>
          <w:rFonts w:asciiTheme="majorHAnsi" w:hAnsiTheme="majorHAnsi"/>
        </w:rPr>
        <w:t>m</w:t>
      </w:r>
      <w:r w:rsidRPr="009D31AC">
        <w:rPr>
          <w:rFonts w:asciiTheme="majorHAnsi" w:hAnsiTheme="majorHAnsi"/>
        </w:rPr>
        <w:t>m sur une EVA de 0 à 10</w:t>
      </w:r>
      <w:r w:rsidR="00152081">
        <w:rPr>
          <w:rFonts w:asciiTheme="majorHAnsi" w:hAnsiTheme="majorHAnsi"/>
        </w:rPr>
        <w:t>0</w:t>
      </w:r>
      <w:r>
        <w:rPr>
          <w:rFonts w:asciiTheme="majorHAnsi" w:hAnsiTheme="majorHAnsi"/>
        </w:rPr>
        <w:t> </w:t>
      </w:r>
      <w:r w:rsidR="00152081">
        <w:rPr>
          <w:rFonts w:asciiTheme="majorHAnsi" w:hAnsiTheme="majorHAnsi"/>
        </w:rPr>
        <w:t>m</w:t>
      </w:r>
      <w:r w:rsidRPr="009D31AC">
        <w:rPr>
          <w:rFonts w:asciiTheme="majorHAnsi" w:hAnsiTheme="majorHAnsi"/>
        </w:rPr>
        <w:t xml:space="preserve">m. L’effet-taille </w:t>
      </w:r>
      <w:r w:rsidR="00152081">
        <w:rPr>
          <w:rFonts w:asciiTheme="majorHAnsi" w:hAnsiTheme="majorHAnsi"/>
        </w:rPr>
        <w:t xml:space="preserve">calculé par les auteurs </w:t>
      </w:r>
      <w:r w:rsidRPr="009D31AC">
        <w:rPr>
          <w:rFonts w:asciiTheme="majorHAnsi" w:hAnsiTheme="majorHAnsi"/>
        </w:rPr>
        <w:t xml:space="preserve">est supérieur </w:t>
      </w:r>
      <w:r>
        <w:rPr>
          <w:rFonts w:asciiTheme="majorHAnsi" w:hAnsiTheme="majorHAnsi"/>
        </w:rPr>
        <w:t xml:space="preserve">à celui des études sur le </w:t>
      </w:r>
      <w:r w:rsidRPr="009D31AC">
        <w:rPr>
          <w:rFonts w:asciiTheme="majorHAnsi" w:hAnsiTheme="majorHAnsi"/>
        </w:rPr>
        <w:t xml:space="preserve">paracétamol et </w:t>
      </w:r>
      <w:r w:rsidR="00152081">
        <w:rPr>
          <w:rFonts w:asciiTheme="majorHAnsi" w:hAnsiTheme="majorHAnsi"/>
        </w:rPr>
        <w:t>les AINS (voir ci-dessous</w:t>
      </w:r>
      <w:r>
        <w:rPr>
          <w:rFonts w:asciiTheme="majorHAnsi" w:hAnsiTheme="majorHAnsi"/>
        </w:rPr>
        <w:t>)</w:t>
      </w:r>
      <w:r w:rsidRPr="009D31AC">
        <w:rPr>
          <w:rFonts w:asciiTheme="majorHAnsi" w:hAnsiTheme="majorHAnsi"/>
        </w:rPr>
        <w:t>.</w:t>
      </w:r>
    </w:p>
    <w:p w14:paraId="38134B76" w14:textId="77777777" w:rsidR="00CE63EE" w:rsidRPr="009D31AC" w:rsidRDefault="00CE63EE" w:rsidP="00CE63EE">
      <w:pPr>
        <w:rPr>
          <w:rFonts w:asciiTheme="majorHAnsi" w:hAnsiTheme="majorHAnsi"/>
        </w:rPr>
      </w:pPr>
    </w:p>
    <w:p w14:paraId="5742CB27" w14:textId="77777777" w:rsidR="00CE63EE" w:rsidRPr="009D31AC" w:rsidRDefault="00CE63EE" w:rsidP="00CE63EE">
      <w:pPr>
        <w:rPr>
          <w:rFonts w:asciiTheme="majorHAnsi" w:hAnsiTheme="majorHAnsi"/>
        </w:rPr>
      </w:pPr>
      <w:r w:rsidRPr="009D31AC">
        <w:rPr>
          <w:rFonts w:asciiTheme="majorHAnsi" w:hAnsiTheme="majorHAnsi"/>
        </w:rPr>
        <w:t>Comme souvent dans ces méta-analyses, il n’y a aucun détail sur la population étudiée (critères d’inclusion qui peuvent être variables) et sur la qualité des injections.</w:t>
      </w:r>
    </w:p>
    <w:p w14:paraId="3878767A" w14:textId="77777777" w:rsidR="00CE63EE" w:rsidRPr="009D31AC" w:rsidRDefault="00CE63EE" w:rsidP="00CE63EE">
      <w:pPr>
        <w:rPr>
          <w:rFonts w:asciiTheme="majorHAnsi" w:hAnsiTheme="majorHAnsi"/>
        </w:rPr>
      </w:pPr>
    </w:p>
    <w:p w14:paraId="006601F6" w14:textId="204A6AA6" w:rsidR="00CE63EE" w:rsidRPr="009D31AC" w:rsidRDefault="00CE63EE" w:rsidP="00CE63EE">
      <w:pPr>
        <w:rPr>
          <w:rFonts w:asciiTheme="majorHAnsi" w:hAnsiTheme="majorHAnsi"/>
        </w:rPr>
      </w:pPr>
      <w:r w:rsidRPr="009D31AC">
        <w:rPr>
          <w:rFonts w:asciiTheme="majorHAnsi" w:hAnsiTheme="majorHAnsi"/>
        </w:rPr>
        <w:t>La méta-analyse est très large, regroupant plus de 70 études dont ce</w:t>
      </w:r>
      <w:r>
        <w:rPr>
          <w:rFonts w:asciiTheme="majorHAnsi" w:hAnsiTheme="majorHAnsi"/>
        </w:rPr>
        <w:t>rtaines n’ont pas été publiées</w:t>
      </w:r>
      <w:r w:rsidRPr="009D31AC">
        <w:rPr>
          <w:rFonts w:asciiTheme="majorHAnsi" w:hAnsiTheme="majorHAnsi"/>
        </w:rPr>
        <w:t>, mais le détail de ces études n’est pas acces</w:t>
      </w:r>
      <w:r w:rsidR="00152081">
        <w:rPr>
          <w:rFonts w:asciiTheme="majorHAnsi" w:hAnsiTheme="majorHAnsi"/>
        </w:rPr>
        <w:t>sible, donc non contrôlable (les auteurs</w:t>
      </w:r>
      <w:r w:rsidRPr="009D31AC">
        <w:rPr>
          <w:rFonts w:asciiTheme="majorHAnsi" w:hAnsiTheme="majorHAnsi"/>
        </w:rPr>
        <w:t xml:space="preserve"> ont obtenu des données confidentielles parfois à l’insu du laboratoire concerné). En revanche, en poolant des études anciennes à des études plus récentes, </w:t>
      </w:r>
      <w:r>
        <w:rPr>
          <w:rFonts w:asciiTheme="majorHAnsi" w:hAnsiTheme="majorHAnsi"/>
        </w:rPr>
        <w:t>on obtient</w:t>
      </w:r>
      <w:r w:rsidRPr="009D31AC">
        <w:rPr>
          <w:rFonts w:asciiTheme="majorHAnsi" w:hAnsiTheme="majorHAnsi"/>
        </w:rPr>
        <w:t xml:space="preserve"> une grande hétérogénéité dans la méthodologie.</w:t>
      </w:r>
    </w:p>
    <w:p w14:paraId="6465F376" w14:textId="77777777" w:rsidR="00CE63EE" w:rsidRPr="009D31AC" w:rsidRDefault="00CE63EE" w:rsidP="00CE63EE">
      <w:pPr>
        <w:rPr>
          <w:rFonts w:asciiTheme="majorHAnsi" w:hAnsiTheme="majorHAnsi"/>
        </w:rPr>
      </w:pPr>
    </w:p>
    <w:p w14:paraId="3639DF72" w14:textId="0FF76C11" w:rsidR="00CE63EE" w:rsidRPr="009D31AC" w:rsidRDefault="00CE63EE" w:rsidP="00CE63EE">
      <w:pPr>
        <w:rPr>
          <w:rFonts w:asciiTheme="majorHAnsi" w:hAnsiTheme="majorHAnsi"/>
        </w:rPr>
      </w:pPr>
      <w:r w:rsidRPr="009D31AC">
        <w:rPr>
          <w:rFonts w:asciiTheme="majorHAnsi" w:hAnsiTheme="majorHAnsi"/>
        </w:rPr>
        <w:t xml:space="preserve">Sur le tableau listant les effet-taille de chaque étude, les curseurs sont presque partout favorables à l’AH, sauf 3 études défavorables qui se démarquent, dont une sur un produit non commercialisé </w:t>
      </w:r>
      <w:r w:rsidR="00786078">
        <w:rPr>
          <w:rFonts w:asciiTheme="majorHAnsi" w:hAnsiTheme="majorHAnsi"/>
          <w:noProof/>
        </w:rPr>
        <w:t>(33</w:t>
      </w:r>
      <w:r>
        <w:rPr>
          <w:rFonts w:asciiTheme="majorHAnsi" w:hAnsiTheme="majorHAnsi"/>
          <w:noProof/>
        </w:rPr>
        <w:t>)</w:t>
      </w:r>
      <w:r w:rsidRPr="009D31AC">
        <w:rPr>
          <w:rFonts w:asciiTheme="majorHAnsi" w:hAnsiTheme="majorHAnsi"/>
        </w:rPr>
        <w:t xml:space="preserve">, une autre de Atay </w:t>
      </w:r>
      <w:r w:rsidR="00786078">
        <w:rPr>
          <w:rFonts w:asciiTheme="majorHAnsi" w:hAnsiTheme="majorHAnsi"/>
          <w:noProof/>
        </w:rPr>
        <w:t>(34</w:t>
      </w:r>
      <w:r>
        <w:rPr>
          <w:rFonts w:asciiTheme="majorHAnsi" w:hAnsiTheme="majorHAnsi"/>
          <w:noProof/>
        </w:rPr>
        <w:t>)</w:t>
      </w:r>
      <w:r>
        <w:rPr>
          <w:rFonts w:asciiTheme="majorHAnsi" w:hAnsiTheme="majorHAnsi"/>
        </w:rPr>
        <w:t xml:space="preserve"> </w:t>
      </w:r>
      <w:r w:rsidRPr="009D31AC">
        <w:rPr>
          <w:rFonts w:asciiTheme="majorHAnsi" w:hAnsiTheme="majorHAnsi"/>
        </w:rPr>
        <w:t xml:space="preserve">qui étudie 2 AH de PM différent vs </w:t>
      </w:r>
      <w:r w:rsidR="00152081">
        <w:rPr>
          <w:rFonts w:asciiTheme="majorHAnsi" w:hAnsiTheme="majorHAnsi"/>
        </w:rPr>
        <w:t xml:space="preserve">un </w:t>
      </w:r>
      <w:r w:rsidRPr="009D31AC">
        <w:rPr>
          <w:rFonts w:asciiTheme="majorHAnsi" w:hAnsiTheme="majorHAnsi"/>
        </w:rPr>
        <w:t>groupe contrôle non injecté sur de petits effectifs (15</w:t>
      </w:r>
      <w:r>
        <w:rPr>
          <w:rFonts w:asciiTheme="majorHAnsi" w:hAnsiTheme="majorHAnsi"/>
        </w:rPr>
        <w:t xml:space="preserve"> par groupe</w:t>
      </w:r>
      <w:r w:rsidRPr="009D31AC">
        <w:rPr>
          <w:rFonts w:asciiTheme="majorHAnsi" w:hAnsiTheme="majorHAnsi"/>
        </w:rPr>
        <w:t>) q</w:t>
      </w:r>
      <w:r>
        <w:rPr>
          <w:rFonts w:asciiTheme="majorHAnsi" w:hAnsiTheme="majorHAnsi"/>
        </w:rPr>
        <w:t>ui ne devrait pas être incluse, car il s’agit d’injections post-arthroscopie</w:t>
      </w:r>
      <w:r w:rsidR="00152081">
        <w:rPr>
          <w:rFonts w:asciiTheme="majorHAnsi" w:hAnsiTheme="majorHAnsi"/>
        </w:rPr>
        <w:t xml:space="preserve"> et une 3</w:t>
      </w:r>
      <w:r w:rsidR="00152081" w:rsidRPr="00152081">
        <w:rPr>
          <w:rFonts w:asciiTheme="majorHAnsi" w:hAnsiTheme="majorHAnsi"/>
          <w:vertAlign w:val="superscript"/>
        </w:rPr>
        <w:t>ème</w:t>
      </w:r>
      <w:r w:rsidR="00152081">
        <w:rPr>
          <w:rFonts w:asciiTheme="majorHAnsi" w:hAnsiTheme="majorHAnsi"/>
        </w:rPr>
        <w:t xml:space="preserve"> </w:t>
      </w:r>
      <w:r w:rsidRPr="009D31AC">
        <w:rPr>
          <w:rFonts w:asciiTheme="majorHAnsi" w:hAnsiTheme="majorHAnsi"/>
        </w:rPr>
        <w:t xml:space="preserve">japonaise de 1983 </w:t>
      </w:r>
      <w:r w:rsidR="00786078">
        <w:rPr>
          <w:rFonts w:asciiTheme="majorHAnsi" w:hAnsiTheme="majorHAnsi"/>
          <w:noProof/>
        </w:rPr>
        <w:t>(35</w:t>
      </w:r>
      <w:r>
        <w:rPr>
          <w:rFonts w:asciiTheme="majorHAnsi" w:hAnsiTheme="majorHAnsi"/>
          <w:noProof/>
        </w:rPr>
        <w:t>)</w:t>
      </w:r>
      <w:r w:rsidRPr="009D31AC">
        <w:rPr>
          <w:rFonts w:asciiTheme="majorHAnsi" w:hAnsiTheme="majorHAnsi"/>
        </w:rPr>
        <w:t xml:space="preserve">, le même auteur publiant la même année deux études aux résultats </w:t>
      </w:r>
      <w:r>
        <w:rPr>
          <w:rFonts w:asciiTheme="majorHAnsi" w:hAnsiTheme="majorHAnsi"/>
        </w:rPr>
        <w:t xml:space="preserve">apparemment </w:t>
      </w:r>
      <w:r w:rsidRPr="009D31AC">
        <w:rPr>
          <w:rFonts w:asciiTheme="majorHAnsi" w:hAnsiTheme="majorHAnsi"/>
        </w:rPr>
        <w:t>opposés.</w:t>
      </w:r>
    </w:p>
    <w:p w14:paraId="653DD7A7" w14:textId="77777777" w:rsidR="00CE63EE" w:rsidRPr="009D31AC" w:rsidRDefault="00CE63EE" w:rsidP="00CE63EE">
      <w:pPr>
        <w:rPr>
          <w:rFonts w:asciiTheme="majorHAnsi" w:hAnsiTheme="majorHAnsi"/>
        </w:rPr>
      </w:pPr>
    </w:p>
    <w:p w14:paraId="10AAEBC4" w14:textId="77777777" w:rsidR="00152081" w:rsidRDefault="00CE63EE" w:rsidP="00CE63EE">
      <w:pPr>
        <w:rPr>
          <w:rFonts w:asciiTheme="majorHAnsi" w:hAnsiTheme="majorHAnsi"/>
        </w:rPr>
      </w:pPr>
      <w:r w:rsidRPr="009D31AC">
        <w:rPr>
          <w:rFonts w:asciiTheme="majorHAnsi" w:hAnsiTheme="majorHAnsi"/>
        </w:rPr>
        <w:t xml:space="preserve">Les résultats de leur analyse stratifiée sur la douleur </w:t>
      </w:r>
      <w:r>
        <w:rPr>
          <w:rFonts w:asciiTheme="majorHAnsi" w:hAnsiTheme="majorHAnsi"/>
        </w:rPr>
        <w:t>son</w:t>
      </w:r>
      <w:r w:rsidRPr="009D31AC">
        <w:rPr>
          <w:rFonts w:asciiTheme="majorHAnsi" w:hAnsiTheme="majorHAnsi"/>
        </w:rPr>
        <w:t>t intéressant</w:t>
      </w:r>
      <w:r>
        <w:rPr>
          <w:rFonts w:asciiTheme="majorHAnsi" w:hAnsiTheme="majorHAnsi"/>
        </w:rPr>
        <w:t>s</w:t>
      </w:r>
      <w:r w:rsidRPr="009D31AC">
        <w:rPr>
          <w:rFonts w:asciiTheme="majorHAnsi" w:hAnsiTheme="majorHAnsi"/>
        </w:rPr>
        <w:t xml:space="preserve">. </w:t>
      </w:r>
      <w:r w:rsidR="00152081">
        <w:rPr>
          <w:rFonts w:asciiTheme="majorHAnsi" w:hAnsiTheme="majorHAnsi"/>
        </w:rPr>
        <w:t>Parmi les 71 essais analysés,</w:t>
      </w:r>
    </w:p>
    <w:p w14:paraId="27BDFD1F" w14:textId="0823744E" w:rsidR="005D5E82" w:rsidRDefault="00CE63EE" w:rsidP="00CE63EE">
      <w:pPr>
        <w:rPr>
          <w:rFonts w:asciiTheme="majorHAnsi" w:hAnsiTheme="majorHAnsi"/>
        </w:rPr>
      </w:pPr>
      <w:r w:rsidRPr="009D31AC">
        <w:rPr>
          <w:rFonts w:asciiTheme="majorHAnsi" w:hAnsiTheme="majorHAnsi"/>
        </w:rPr>
        <w:t>18 n’ont pas de placebo</w:t>
      </w:r>
      <w:r>
        <w:rPr>
          <w:rFonts w:asciiTheme="majorHAnsi" w:hAnsiTheme="majorHAnsi"/>
        </w:rPr>
        <w:t> </w:t>
      </w:r>
      <w:r w:rsidRPr="009D31AC">
        <w:rPr>
          <w:rFonts w:asciiTheme="majorHAnsi" w:hAnsiTheme="majorHAnsi"/>
        </w:rPr>
        <w:t>;</w:t>
      </w:r>
      <w:r w:rsidR="005D5E82">
        <w:rPr>
          <w:rFonts w:asciiTheme="majorHAnsi" w:hAnsiTheme="majorHAnsi"/>
        </w:rPr>
        <w:t xml:space="preserve"> </w:t>
      </w:r>
    </w:p>
    <w:p w14:paraId="4E6AB1FD" w14:textId="52250410" w:rsidR="005D5E82" w:rsidRDefault="005D5E82" w:rsidP="00CE63EE">
      <w:pPr>
        <w:rPr>
          <w:rFonts w:asciiTheme="majorHAnsi" w:hAnsiTheme="majorHAnsi"/>
        </w:rPr>
      </w:pPr>
      <w:r>
        <w:rPr>
          <w:rFonts w:asciiTheme="majorHAnsi" w:hAnsiTheme="majorHAnsi"/>
        </w:rPr>
        <w:t>55 n’ont pas de</w:t>
      </w:r>
      <w:r w:rsidR="00ED19ED">
        <w:rPr>
          <w:rFonts w:asciiTheme="majorHAnsi" w:hAnsiTheme="majorHAnsi"/>
        </w:rPr>
        <w:t xml:space="preserve"> vrai insu vis à vis du patient ;</w:t>
      </w:r>
    </w:p>
    <w:p w14:paraId="30C30B8E" w14:textId="0C7D4592" w:rsidR="005D5E82" w:rsidRDefault="00CE63EE" w:rsidP="00CE63EE">
      <w:pPr>
        <w:rPr>
          <w:rFonts w:asciiTheme="majorHAnsi" w:hAnsiTheme="majorHAnsi"/>
        </w:rPr>
      </w:pPr>
      <w:r w:rsidRPr="009D31AC">
        <w:rPr>
          <w:rFonts w:asciiTheme="majorHAnsi" w:hAnsiTheme="majorHAnsi"/>
        </w:rPr>
        <w:t>25 n’ont</w:t>
      </w:r>
      <w:r w:rsidR="00ED19ED">
        <w:rPr>
          <w:rFonts w:asciiTheme="majorHAnsi" w:hAnsiTheme="majorHAnsi"/>
        </w:rPr>
        <w:t xml:space="preserve"> pas une évaluation en aveugle ;</w:t>
      </w:r>
    </w:p>
    <w:p w14:paraId="16698A86" w14:textId="77777777" w:rsidR="005D5E82" w:rsidRDefault="00CE63EE" w:rsidP="00CE63EE">
      <w:pPr>
        <w:rPr>
          <w:rFonts w:asciiTheme="majorHAnsi" w:hAnsiTheme="majorHAnsi"/>
        </w:rPr>
      </w:pPr>
      <w:r w:rsidRPr="009D31AC">
        <w:rPr>
          <w:rFonts w:asciiTheme="majorHAnsi" w:hAnsiTheme="majorHAnsi"/>
        </w:rPr>
        <w:t>15 seulement sont en intention de traitement</w:t>
      </w:r>
      <w:r>
        <w:rPr>
          <w:rFonts w:asciiTheme="majorHAnsi" w:hAnsiTheme="majorHAnsi"/>
        </w:rPr>
        <w:t> </w:t>
      </w:r>
      <w:r w:rsidR="005D5E82">
        <w:rPr>
          <w:rFonts w:asciiTheme="majorHAnsi" w:hAnsiTheme="majorHAnsi"/>
        </w:rPr>
        <w:t>;</w:t>
      </w:r>
    </w:p>
    <w:p w14:paraId="4E4BC480" w14:textId="77777777" w:rsidR="005D5E82" w:rsidRDefault="00CE63EE" w:rsidP="00CE63EE">
      <w:pPr>
        <w:rPr>
          <w:rFonts w:asciiTheme="majorHAnsi" w:hAnsiTheme="majorHAnsi"/>
        </w:rPr>
      </w:pPr>
      <w:r w:rsidRPr="009D31AC">
        <w:rPr>
          <w:rFonts w:asciiTheme="majorHAnsi" w:hAnsiTheme="majorHAnsi"/>
        </w:rPr>
        <w:t>50 ont des groupes étudiés inférieur</w:t>
      </w:r>
      <w:r>
        <w:rPr>
          <w:rFonts w:asciiTheme="majorHAnsi" w:hAnsiTheme="majorHAnsi"/>
        </w:rPr>
        <w:t xml:space="preserve">s </w:t>
      </w:r>
      <w:r w:rsidR="005D5E82">
        <w:rPr>
          <w:rFonts w:asciiTheme="majorHAnsi" w:hAnsiTheme="majorHAnsi"/>
        </w:rPr>
        <w:t>à 100 ;</w:t>
      </w:r>
    </w:p>
    <w:p w14:paraId="690692CA" w14:textId="77777777" w:rsidR="005D5E82" w:rsidRDefault="00CE63EE" w:rsidP="00CE63EE">
      <w:pPr>
        <w:rPr>
          <w:rFonts w:asciiTheme="majorHAnsi" w:hAnsiTheme="majorHAnsi"/>
        </w:rPr>
      </w:pPr>
      <w:r w:rsidRPr="009D31AC">
        <w:rPr>
          <w:rFonts w:asciiTheme="majorHAnsi" w:hAnsiTheme="majorHAnsi"/>
        </w:rPr>
        <w:t>seulement 52 correspondent à des articles complets publiés</w:t>
      </w:r>
      <w:r>
        <w:rPr>
          <w:rFonts w:asciiTheme="majorHAnsi" w:hAnsiTheme="majorHAnsi"/>
        </w:rPr>
        <w:t> </w:t>
      </w:r>
      <w:r w:rsidR="005D5E82">
        <w:rPr>
          <w:rFonts w:asciiTheme="majorHAnsi" w:hAnsiTheme="majorHAnsi"/>
        </w:rPr>
        <w:t>;</w:t>
      </w:r>
    </w:p>
    <w:p w14:paraId="147127B5" w14:textId="056AF32D" w:rsidR="005D5E82" w:rsidRDefault="00CE63EE" w:rsidP="00CE63EE">
      <w:pPr>
        <w:rPr>
          <w:rFonts w:asciiTheme="majorHAnsi" w:hAnsiTheme="majorHAnsi"/>
        </w:rPr>
      </w:pPr>
      <w:r w:rsidRPr="009D31AC">
        <w:rPr>
          <w:rFonts w:asciiTheme="majorHAnsi" w:hAnsiTheme="majorHAnsi"/>
        </w:rPr>
        <w:t xml:space="preserve">4 sont clairement indépendants </w:t>
      </w:r>
      <w:r>
        <w:rPr>
          <w:rFonts w:asciiTheme="majorHAnsi" w:hAnsiTheme="majorHAnsi"/>
        </w:rPr>
        <w:t>de l’industrie (et ceux-là ont u</w:t>
      </w:r>
      <w:r w:rsidRPr="009D31AC">
        <w:rPr>
          <w:rFonts w:asciiTheme="majorHAnsi" w:hAnsiTheme="majorHAnsi"/>
        </w:rPr>
        <w:t>n effet taille plus favorable aux AH)</w:t>
      </w:r>
      <w:r w:rsidR="00ED19ED">
        <w:rPr>
          <w:rFonts w:asciiTheme="majorHAnsi" w:hAnsiTheme="majorHAnsi"/>
        </w:rPr>
        <w:t>.</w:t>
      </w:r>
    </w:p>
    <w:p w14:paraId="142570B8" w14:textId="77777777" w:rsidR="005D5E82" w:rsidRDefault="005D5E82" w:rsidP="00CE63EE">
      <w:pPr>
        <w:rPr>
          <w:rFonts w:asciiTheme="majorHAnsi" w:hAnsiTheme="majorHAnsi"/>
        </w:rPr>
      </w:pPr>
    </w:p>
    <w:p w14:paraId="10870733" w14:textId="76BAEA66" w:rsidR="00CE63EE" w:rsidRDefault="005D5E82" w:rsidP="00CE63EE">
      <w:pPr>
        <w:rPr>
          <w:rFonts w:asciiTheme="majorHAnsi" w:hAnsiTheme="majorHAnsi"/>
        </w:rPr>
      </w:pPr>
      <w:r>
        <w:rPr>
          <w:rFonts w:asciiTheme="majorHAnsi" w:hAnsiTheme="majorHAnsi"/>
        </w:rPr>
        <w:lastRenderedPageBreak/>
        <w:t>L</w:t>
      </w:r>
      <w:r w:rsidR="00CE63EE" w:rsidRPr="009D31AC">
        <w:rPr>
          <w:rFonts w:asciiTheme="majorHAnsi" w:hAnsiTheme="majorHAnsi"/>
        </w:rPr>
        <w:t>e nombre d’injections est très variable, avec un meilleur résultat pour les traitement</w:t>
      </w:r>
      <w:r w:rsidR="00CE63EE">
        <w:rPr>
          <w:rFonts w:asciiTheme="majorHAnsi" w:hAnsiTheme="majorHAnsi"/>
        </w:rPr>
        <w:t xml:space="preserve">s </w:t>
      </w:r>
      <w:r w:rsidR="00CE63EE" w:rsidRPr="009D31AC">
        <w:rPr>
          <w:rFonts w:asciiTheme="majorHAnsi" w:hAnsiTheme="majorHAnsi"/>
        </w:rPr>
        <w:t xml:space="preserve">en </w:t>
      </w:r>
      <w:r w:rsidR="00CE63EE">
        <w:rPr>
          <w:rFonts w:asciiTheme="majorHAnsi" w:hAnsiTheme="majorHAnsi"/>
        </w:rPr>
        <w:t>1</w:t>
      </w:r>
      <w:r w:rsidR="00CE63EE" w:rsidRPr="009D31AC">
        <w:rPr>
          <w:rFonts w:asciiTheme="majorHAnsi" w:hAnsiTheme="majorHAnsi"/>
        </w:rPr>
        <w:t xml:space="preserve"> ou 2 injections, défavorable aux produits avec plus de 3 injections</w:t>
      </w:r>
      <w:r w:rsidR="00CE63EE">
        <w:rPr>
          <w:rFonts w:asciiTheme="majorHAnsi" w:hAnsiTheme="majorHAnsi"/>
        </w:rPr>
        <w:t> </w:t>
      </w:r>
      <w:r w:rsidR="00CE63EE" w:rsidRPr="009D31AC">
        <w:rPr>
          <w:rFonts w:asciiTheme="majorHAnsi" w:hAnsiTheme="majorHAnsi"/>
        </w:rPr>
        <w:t xml:space="preserve">; les réticulés ont un effet taille à -0,53 vs </w:t>
      </w:r>
      <w:r w:rsidR="00CE63EE">
        <w:rPr>
          <w:rFonts w:asciiTheme="majorHAnsi" w:hAnsiTheme="majorHAnsi"/>
        </w:rPr>
        <w:t>-</w:t>
      </w:r>
      <w:r w:rsidR="00CE63EE" w:rsidRPr="009D31AC">
        <w:rPr>
          <w:rFonts w:asciiTheme="majorHAnsi" w:hAnsiTheme="majorHAnsi"/>
        </w:rPr>
        <w:t>0,29 pour les non réticulés ou sans mention de réticulation</w:t>
      </w:r>
      <w:r w:rsidR="00CE63EE">
        <w:rPr>
          <w:rFonts w:asciiTheme="majorHAnsi" w:hAnsiTheme="majorHAnsi"/>
        </w:rPr>
        <w:t> </w:t>
      </w:r>
      <w:r w:rsidR="00CE63EE" w:rsidRPr="009D31AC">
        <w:rPr>
          <w:rFonts w:asciiTheme="majorHAnsi" w:hAnsiTheme="majorHAnsi"/>
        </w:rPr>
        <w:t>; les bas PM ont un effet taille moins bon (-0,23) vs hauts PM (-0,55) et très hauts PM (-0,58)</w:t>
      </w:r>
      <w:r w:rsidR="00CE63EE">
        <w:rPr>
          <w:rFonts w:asciiTheme="majorHAnsi" w:hAnsiTheme="majorHAnsi"/>
        </w:rPr>
        <w:t> </w:t>
      </w:r>
      <w:r w:rsidR="00CE63EE" w:rsidRPr="009D31AC">
        <w:rPr>
          <w:rFonts w:asciiTheme="majorHAnsi" w:hAnsiTheme="majorHAnsi"/>
        </w:rPr>
        <w:t xml:space="preserve">; l’effet taille est aussi meilleur à </w:t>
      </w:r>
      <w:r w:rsidR="00CE63EE">
        <w:rPr>
          <w:rFonts w:asciiTheme="majorHAnsi" w:hAnsiTheme="majorHAnsi"/>
        </w:rPr>
        <w:t>moins</w:t>
      </w:r>
      <w:r w:rsidR="00CE63EE" w:rsidRPr="009D31AC">
        <w:rPr>
          <w:rFonts w:asciiTheme="majorHAnsi" w:hAnsiTheme="majorHAnsi"/>
        </w:rPr>
        <w:t xml:space="preserve"> de 3 mois et à plus de 6 mois de suivi. Il est meilleur lorsqu’il y a plus d’un cycle de traitement.</w:t>
      </w:r>
    </w:p>
    <w:p w14:paraId="7BBF4DA7" w14:textId="77777777" w:rsidR="005D5E82" w:rsidRPr="009D31AC" w:rsidRDefault="005D5E82" w:rsidP="00CE63EE">
      <w:pPr>
        <w:rPr>
          <w:rFonts w:asciiTheme="majorHAnsi" w:hAnsiTheme="majorHAnsi"/>
        </w:rPr>
      </w:pPr>
    </w:p>
    <w:p w14:paraId="272BE7BA" w14:textId="6B387FFD" w:rsidR="00CE63EE" w:rsidRPr="009D31AC" w:rsidRDefault="00CE63EE" w:rsidP="00CE63EE">
      <w:pPr>
        <w:rPr>
          <w:rFonts w:asciiTheme="majorHAnsi" w:hAnsiTheme="majorHAnsi"/>
        </w:rPr>
      </w:pPr>
      <w:r w:rsidRPr="009D31AC">
        <w:rPr>
          <w:rFonts w:asciiTheme="majorHAnsi" w:hAnsiTheme="majorHAnsi"/>
        </w:rPr>
        <w:t xml:space="preserve">Tous ces éléments </w:t>
      </w:r>
      <w:r>
        <w:rPr>
          <w:rFonts w:asciiTheme="majorHAnsi" w:hAnsiTheme="majorHAnsi"/>
        </w:rPr>
        <w:t>s</w:t>
      </w:r>
      <w:r w:rsidRPr="009D31AC">
        <w:rPr>
          <w:rFonts w:asciiTheme="majorHAnsi" w:hAnsiTheme="majorHAnsi"/>
        </w:rPr>
        <w:t>ont peu discutés, ce qui laisse penser que l’objectif de cette méta-analyse était</w:t>
      </w:r>
      <w:r w:rsidR="005D5E82">
        <w:rPr>
          <w:rFonts w:asciiTheme="majorHAnsi" w:hAnsiTheme="majorHAnsi"/>
        </w:rPr>
        <w:t xml:space="preserve"> clairement de condamner l</w:t>
      </w:r>
      <w:r w:rsidRPr="009D31AC">
        <w:rPr>
          <w:rFonts w:asciiTheme="majorHAnsi" w:hAnsiTheme="majorHAnsi"/>
        </w:rPr>
        <w:t>e traitement</w:t>
      </w:r>
      <w:r w:rsidR="005D5E82">
        <w:rPr>
          <w:rFonts w:asciiTheme="majorHAnsi" w:hAnsiTheme="majorHAnsi"/>
        </w:rPr>
        <w:t xml:space="preserve"> et non de l’évaluer objectivement</w:t>
      </w:r>
      <w:r w:rsidRPr="009D31AC">
        <w:rPr>
          <w:rFonts w:asciiTheme="majorHAnsi" w:hAnsiTheme="majorHAnsi"/>
        </w:rPr>
        <w:t>.</w:t>
      </w:r>
    </w:p>
    <w:p w14:paraId="5A6586E3" w14:textId="77777777" w:rsidR="00CE63EE" w:rsidRPr="009D31AC" w:rsidRDefault="00CE63EE" w:rsidP="00CE63EE">
      <w:pPr>
        <w:rPr>
          <w:rFonts w:asciiTheme="majorHAnsi" w:hAnsiTheme="majorHAnsi"/>
        </w:rPr>
      </w:pPr>
    </w:p>
    <w:p w14:paraId="03F494C6" w14:textId="2207017E" w:rsidR="00CE63EE" w:rsidRPr="009D31AC" w:rsidRDefault="00CE63EE" w:rsidP="00CE63EE">
      <w:pPr>
        <w:rPr>
          <w:rFonts w:asciiTheme="majorHAnsi" w:hAnsiTheme="majorHAnsi"/>
        </w:rPr>
      </w:pPr>
      <w:r w:rsidRPr="009D31AC">
        <w:rPr>
          <w:rFonts w:asciiTheme="majorHAnsi" w:hAnsiTheme="majorHAnsi"/>
        </w:rPr>
        <w:t>Cela est surtout évident dans l’étude des effets secondaires où les effets dit</w:t>
      </w:r>
      <w:r>
        <w:rPr>
          <w:rFonts w:asciiTheme="majorHAnsi" w:hAnsiTheme="majorHAnsi"/>
        </w:rPr>
        <w:t xml:space="preserve">s </w:t>
      </w:r>
      <w:r w:rsidRPr="009D31AC">
        <w:rPr>
          <w:rFonts w:asciiTheme="majorHAnsi" w:hAnsiTheme="majorHAnsi"/>
        </w:rPr>
        <w:t>sérieux sont étab</w:t>
      </w:r>
      <w:r w:rsidR="005D5E82">
        <w:rPr>
          <w:rFonts w:asciiTheme="majorHAnsi" w:hAnsiTheme="majorHAnsi"/>
        </w:rPr>
        <w:t>lis à partir de 8 essais où sont</w:t>
      </w:r>
      <w:r w:rsidRPr="009D31AC">
        <w:rPr>
          <w:rFonts w:asciiTheme="majorHAnsi" w:hAnsiTheme="majorHAnsi"/>
        </w:rPr>
        <w:t xml:space="preserve"> décrit</w:t>
      </w:r>
      <w:r w:rsidR="005D5E82">
        <w:rPr>
          <w:rFonts w:asciiTheme="majorHAnsi" w:hAnsiTheme="majorHAnsi"/>
        </w:rPr>
        <w:t>s</w:t>
      </w:r>
      <w:r w:rsidRPr="009D31AC">
        <w:rPr>
          <w:rFonts w:asciiTheme="majorHAnsi" w:hAnsiTheme="majorHAnsi"/>
        </w:rPr>
        <w:t xml:space="preserve"> comme effets graves des cancers (6 pour AH vs 0 pour les contrôles), des troubl</w:t>
      </w:r>
      <w:r>
        <w:rPr>
          <w:rFonts w:asciiTheme="majorHAnsi" w:hAnsiTheme="majorHAnsi"/>
        </w:rPr>
        <w:t xml:space="preserve">es cardiovasculaires (5 vs 2), </w:t>
      </w:r>
      <w:r w:rsidRPr="009D31AC">
        <w:rPr>
          <w:rFonts w:asciiTheme="majorHAnsi" w:hAnsiTheme="majorHAnsi"/>
        </w:rPr>
        <w:t>des troubles gastro-intestinaux plus fréquents chez les contrôles (prennent-ils plus d’AINS</w:t>
      </w:r>
      <w:r>
        <w:rPr>
          <w:rFonts w:asciiTheme="majorHAnsi" w:hAnsiTheme="majorHAnsi"/>
        </w:rPr>
        <w:t> </w:t>
      </w:r>
      <w:r w:rsidRPr="009D31AC">
        <w:rPr>
          <w:rFonts w:asciiTheme="majorHAnsi" w:hAnsiTheme="majorHAnsi"/>
        </w:rPr>
        <w:t xml:space="preserve">?) et des troubles musculo-squelettiques non détaillés, tous effets secondaires difficilement imputables aux </w:t>
      </w:r>
      <w:r w:rsidR="005D5E82">
        <w:rPr>
          <w:rFonts w:asciiTheme="majorHAnsi" w:hAnsiTheme="majorHAnsi"/>
        </w:rPr>
        <w:t>solutions injectables d’acide hya</w:t>
      </w:r>
      <w:r w:rsidR="00A17FBD">
        <w:rPr>
          <w:rFonts w:asciiTheme="majorHAnsi" w:hAnsiTheme="majorHAnsi"/>
        </w:rPr>
        <w:t>l</w:t>
      </w:r>
      <w:r w:rsidR="005D5E82">
        <w:rPr>
          <w:rFonts w:asciiTheme="majorHAnsi" w:hAnsiTheme="majorHAnsi"/>
        </w:rPr>
        <w:t>uronique</w:t>
      </w:r>
      <w:r w:rsidRPr="009D31AC">
        <w:rPr>
          <w:rFonts w:asciiTheme="majorHAnsi" w:hAnsiTheme="majorHAnsi"/>
        </w:rPr>
        <w:t>. Les autres effets secondaires ne sont pas détaillés avec un risque relatif d’arrêt de traitement, d’épanchement ou d’effets secondaires autour de 1.</w:t>
      </w:r>
    </w:p>
    <w:p w14:paraId="58FC2F65" w14:textId="77777777" w:rsidR="00CE63EE" w:rsidRPr="009D31AC" w:rsidRDefault="00CE63EE" w:rsidP="00CE63EE">
      <w:pPr>
        <w:rPr>
          <w:rFonts w:asciiTheme="majorHAnsi" w:hAnsiTheme="majorHAnsi"/>
        </w:rPr>
      </w:pPr>
    </w:p>
    <w:p w14:paraId="5DB309C2" w14:textId="38890DB8" w:rsidR="00CE63EE" w:rsidRDefault="00CE63EE" w:rsidP="00CE63EE">
      <w:pPr>
        <w:rPr>
          <w:rFonts w:asciiTheme="majorHAnsi" w:hAnsiTheme="majorHAnsi"/>
        </w:rPr>
      </w:pPr>
      <w:r w:rsidRPr="009D31AC">
        <w:rPr>
          <w:rFonts w:asciiTheme="majorHAnsi" w:hAnsiTheme="majorHAnsi"/>
        </w:rPr>
        <w:t>Cette méta-analyse n’est donc ni parfaite</w:t>
      </w:r>
      <w:r w:rsidR="005D5E82">
        <w:rPr>
          <w:rFonts w:asciiTheme="majorHAnsi" w:hAnsiTheme="majorHAnsi"/>
        </w:rPr>
        <w:t>,</w:t>
      </w:r>
      <w:r w:rsidRPr="009D31AC">
        <w:rPr>
          <w:rFonts w:asciiTheme="majorHAnsi" w:hAnsiTheme="majorHAnsi"/>
        </w:rPr>
        <w:t xml:space="preserve"> ni impartiale</w:t>
      </w:r>
      <w:r>
        <w:rPr>
          <w:rFonts w:asciiTheme="majorHAnsi" w:hAnsiTheme="majorHAnsi"/>
        </w:rPr>
        <w:t>,</w:t>
      </w:r>
      <w:r w:rsidRPr="009D31AC">
        <w:rPr>
          <w:rFonts w:asciiTheme="majorHAnsi" w:hAnsiTheme="majorHAnsi"/>
        </w:rPr>
        <w:t xml:space="preserve"> et il ne nous semble pas justifié de prendre des décis</w:t>
      </w:r>
      <w:r w:rsidR="005D5E82">
        <w:rPr>
          <w:rFonts w:asciiTheme="majorHAnsi" w:hAnsiTheme="majorHAnsi"/>
        </w:rPr>
        <w:t>ions sur le Service Rendu de la viscosupplémentation en se fondant principalement sur cette</w:t>
      </w:r>
      <w:r w:rsidRPr="009D31AC">
        <w:rPr>
          <w:rFonts w:asciiTheme="majorHAnsi" w:hAnsiTheme="majorHAnsi"/>
        </w:rPr>
        <w:t xml:space="preserve"> méta-analyse.</w:t>
      </w:r>
    </w:p>
    <w:p w14:paraId="52043EAC" w14:textId="77777777" w:rsidR="00ED19ED" w:rsidRDefault="00ED19ED" w:rsidP="00CE63EE">
      <w:pPr>
        <w:rPr>
          <w:rFonts w:asciiTheme="majorHAnsi" w:hAnsiTheme="majorHAnsi"/>
        </w:rPr>
      </w:pPr>
    </w:p>
    <w:p w14:paraId="7875C97E" w14:textId="77777777" w:rsidR="00ED19ED" w:rsidRDefault="00ED19ED" w:rsidP="00CE63EE">
      <w:pPr>
        <w:rPr>
          <w:rFonts w:asciiTheme="majorHAnsi" w:hAnsiTheme="majorHAnsi"/>
        </w:rPr>
      </w:pPr>
      <w:r>
        <w:rPr>
          <w:rFonts w:asciiTheme="majorHAnsi" w:hAnsiTheme="majorHAnsi"/>
        </w:rPr>
        <w:t>Par ailleurs, on peut estimer que les recommandations négatives de l’American Academy of Orthopedic Surgeons ne sont pas sans arrière-pensée. Quelle que soit la qualité du travail exhaustif de revue de littérature conduit par l’AAOS et mis en ligne dans son imposant document (12), il n’est pas possible de sous-estimer le conflit d’intérêt majeur des orthopédistes Américains qui sont le plus souvent en première ligne dans la prise en charge de l’arthrose des membres inférieurs aux USA avec la prise en charge médicale à long terme de celle-ci.</w:t>
      </w:r>
    </w:p>
    <w:p w14:paraId="07E53AEF" w14:textId="668A78F0" w:rsidR="00ED19ED" w:rsidRPr="009D31AC" w:rsidRDefault="00ED19ED" w:rsidP="00CE63EE">
      <w:pPr>
        <w:rPr>
          <w:rFonts w:asciiTheme="majorHAnsi" w:hAnsiTheme="majorHAnsi"/>
        </w:rPr>
      </w:pPr>
      <w:r>
        <w:rPr>
          <w:rFonts w:asciiTheme="majorHAnsi" w:hAnsiTheme="majorHAnsi"/>
        </w:rPr>
        <w:t>Ainsi, les orthopédistes aux USA opèrent plus et plus tôt qu’en France dans la gonarthrose</w:t>
      </w:r>
      <w:r w:rsidR="003C695C">
        <w:rPr>
          <w:rFonts w:asciiTheme="majorHAnsi" w:hAnsiTheme="majorHAnsi"/>
        </w:rPr>
        <w:t> : 234 PTG pour 100 000 habitants versus 106 / 100 000 en France, (cf. plus haut)</w:t>
      </w:r>
      <w:r>
        <w:rPr>
          <w:rFonts w:asciiTheme="majorHAnsi" w:hAnsiTheme="majorHAnsi"/>
        </w:rPr>
        <w:t xml:space="preserve"> (4, 6). De plus, ils disposent depuis peu de possibilités de « greffes » de cartilage dans le cadre de procédures chirurgicales qu’ils utilisent </w:t>
      </w:r>
      <w:r w:rsidRPr="00ED19ED">
        <w:rPr>
          <w:rFonts w:asciiTheme="majorHAnsi" w:hAnsiTheme="majorHAnsi"/>
          <w:i/>
        </w:rPr>
        <w:t>larga manu</w:t>
      </w:r>
      <w:r>
        <w:rPr>
          <w:rFonts w:asciiTheme="majorHAnsi" w:hAnsiTheme="majorHAnsi"/>
        </w:rPr>
        <w:t>, sans évidences scientifiques particulièrement probantes et réduisent donc leur utilisation des injections d’acide hyaluronique.</w:t>
      </w:r>
    </w:p>
    <w:p w14:paraId="388A5009" w14:textId="77777777" w:rsidR="00CE63EE" w:rsidRDefault="00CE63EE" w:rsidP="00CE63EE">
      <w:pPr>
        <w:rPr>
          <w:rFonts w:asciiTheme="majorHAnsi" w:hAnsiTheme="majorHAnsi"/>
        </w:rPr>
      </w:pPr>
    </w:p>
    <w:p w14:paraId="59DF4B8F" w14:textId="77777777" w:rsidR="00ED19ED" w:rsidRDefault="00ED19ED">
      <w:pPr>
        <w:rPr>
          <w:rFonts w:asciiTheme="majorHAnsi" w:hAnsiTheme="majorHAnsi"/>
          <w:color w:val="FF0000"/>
        </w:rPr>
      </w:pPr>
    </w:p>
    <w:p w14:paraId="3DF2A9A5" w14:textId="77777777" w:rsidR="00CE63EE" w:rsidRPr="00852FE0" w:rsidRDefault="00CE63EE">
      <w:pPr>
        <w:rPr>
          <w:rFonts w:asciiTheme="majorHAnsi" w:hAnsiTheme="majorHAnsi"/>
          <w:b/>
        </w:rPr>
      </w:pPr>
      <w:r>
        <w:rPr>
          <w:rFonts w:asciiTheme="majorHAnsi" w:hAnsiTheme="majorHAnsi"/>
          <w:b/>
        </w:rPr>
        <w:t>4</w:t>
      </w:r>
      <w:r w:rsidRPr="00852FE0">
        <w:rPr>
          <w:rFonts w:asciiTheme="majorHAnsi" w:hAnsiTheme="majorHAnsi"/>
          <w:b/>
        </w:rPr>
        <w:t xml:space="preserve">. </w:t>
      </w:r>
      <w:r>
        <w:rPr>
          <w:rFonts w:asciiTheme="majorHAnsi" w:hAnsiTheme="majorHAnsi"/>
          <w:b/>
        </w:rPr>
        <w:t>À</w:t>
      </w:r>
      <w:r w:rsidRPr="00852FE0">
        <w:rPr>
          <w:rFonts w:asciiTheme="majorHAnsi" w:hAnsiTheme="majorHAnsi"/>
          <w:b/>
        </w:rPr>
        <w:t xml:space="preserve"> propos </w:t>
      </w:r>
      <w:r>
        <w:rPr>
          <w:rFonts w:asciiTheme="majorHAnsi" w:hAnsiTheme="majorHAnsi"/>
          <w:b/>
        </w:rPr>
        <w:t>des alternatives thérapeutiques</w:t>
      </w:r>
      <w:r w:rsidRPr="00852FE0">
        <w:rPr>
          <w:rFonts w:asciiTheme="majorHAnsi" w:hAnsiTheme="majorHAnsi"/>
          <w:b/>
        </w:rPr>
        <w:t xml:space="preserve"> </w:t>
      </w:r>
      <w:r>
        <w:rPr>
          <w:rFonts w:asciiTheme="majorHAnsi" w:hAnsiTheme="majorHAnsi"/>
          <w:b/>
        </w:rPr>
        <w:t xml:space="preserve">aux AASAL et injections d’Acides Hyaluroniques intra-articulaires </w:t>
      </w:r>
      <w:r w:rsidRPr="00852FE0">
        <w:rPr>
          <w:rFonts w:asciiTheme="majorHAnsi" w:hAnsiTheme="majorHAnsi"/>
          <w:b/>
        </w:rPr>
        <w:t>proposé</w:t>
      </w:r>
      <w:r>
        <w:rPr>
          <w:rFonts w:asciiTheme="majorHAnsi" w:hAnsiTheme="majorHAnsi"/>
          <w:b/>
        </w:rPr>
        <w:t>e</w:t>
      </w:r>
      <w:r w:rsidRPr="00852FE0">
        <w:rPr>
          <w:rFonts w:asciiTheme="majorHAnsi" w:hAnsiTheme="majorHAnsi"/>
          <w:b/>
        </w:rPr>
        <w:t>s en 1</w:t>
      </w:r>
      <w:r w:rsidRPr="00852FE0">
        <w:rPr>
          <w:rFonts w:asciiTheme="majorHAnsi" w:hAnsiTheme="majorHAnsi"/>
          <w:b/>
          <w:vertAlign w:val="superscript"/>
        </w:rPr>
        <w:t>re</w:t>
      </w:r>
      <w:r w:rsidRPr="00852FE0">
        <w:rPr>
          <w:rFonts w:asciiTheme="majorHAnsi" w:hAnsiTheme="majorHAnsi"/>
          <w:b/>
        </w:rPr>
        <w:t xml:space="preserve"> ou 2</w:t>
      </w:r>
      <w:r w:rsidRPr="00852FE0">
        <w:rPr>
          <w:rFonts w:asciiTheme="majorHAnsi" w:hAnsiTheme="majorHAnsi"/>
          <w:b/>
          <w:vertAlign w:val="superscript"/>
        </w:rPr>
        <w:t>e</w:t>
      </w:r>
      <w:r w:rsidRPr="00852FE0">
        <w:rPr>
          <w:rFonts w:asciiTheme="majorHAnsi" w:hAnsiTheme="majorHAnsi"/>
          <w:b/>
        </w:rPr>
        <w:t xml:space="preserve"> ligne dans la gonarthrose.</w:t>
      </w:r>
    </w:p>
    <w:p w14:paraId="2162ED52" w14:textId="77777777" w:rsidR="00CE63EE" w:rsidRDefault="00CE63EE">
      <w:pPr>
        <w:rPr>
          <w:rFonts w:asciiTheme="majorHAnsi" w:hAnsiTheme="majorHAnsi"/>
        </w:rPr>
      </w:pPr>
    </w:p>
    <w:p w14:paraId="6B37161D" w14:textId="77777777" w:rsidR="00CE63EE" w:rsidRPr="00E573E1" w:rsidRDefault="00CE63EE" w:rsidP="00CE63EE">
      <w:pPr>
        <w:autoSpaceDE w:val="0"/>
        <w:autoSpaceDN w:val="0"/>
        <w:adjustRightInd w:val="0"/>
        <w:rPr>
          <w:rFonts w:asciiTheme="majorHAnsi" w:hAnsiTheme="majorHAnsi"/>
          <w:b/>
          <w:i/>
        </w:rPr>
      </w:pPr>
      <w:r w:rsidRPr="00E573E1">
        <w:rPr>
          <w:rFonts w:asciiTheme="majorHAnsi" w:hAnsiTheme="majorHAnsi"/>
          <w:b/>
          <w:i/>
        </w:rPr>
        <w:t xml:space="preserve">Paracétamol. </w:t>
      </w:r>
    </w:p>
    <w:p w14:paraId="3B5840A2" w14:textId="17E8CE5C" w:rsidR="00CE63EE" w:rsidRPr="00435DDC" w:rsidRDefault="00CE63EE" w:rsidP="00CE63EE">
      <w:pPr>
        <w:autoSpaceDE w:val="0"/>
        <w:autoSpaceDN w:val="0"/>
        <w:adjustRightInd w:val="0"/>
        <w:rPr>
          <w:rFonts w:asciiTheme="majorHAnsi" w:hAnsiTheme="majorHAnsi" w:cs="AdvPA0C4"/>
          <w:szCs w:val="17"/>
        </w:rPr>
      </w:pPr>
      <w:r>
        <w:rPr>
          <w:rFonts w:asciiTheme="majorHAnsi" w:hAnsiTheme="majorHAnsi" w:cs="AdvPA0C4"/>
          <w:szCs w:val="17"/>
        </w:rPr>
        <w:t>Le p</w:t>
      </w:r>
      <w:r w:rsidRPr="00435DDC">
        <w:rPr>
          <w:rFonts w:asciiTheme="majorHAnsi" w:hAnsiTheme="majorHAnsi" w:cs="AdvPA0C4"/>
          <w:szCs w:val="17"/>
        </w:rPr>
        <w:t xml:space="preserve">aracétamol est jugé efficace </w:t>
      </w:r>
      <w:r>
        <w:rPr>
          <w:rFonts w:asciiTheme="majorHAnsi" w:hAnsiTheme="majorHAnsi" w:cs="AdvPA0C4"/>
          <w:szCs w:val="17"/>
        </w:rPr>
        <w:t xml:space="preserve">par W Zhang et coll. sur la douleur </w:t>
      </w:r>
      <w:r w:rsidRPr="00435DDC">
        <w:rPr>
          <w:rFonts w:asciiTheme="majorHAnsi" w:hAnsiTheme="majorHAnsi" w:cs="AdvPA0C4"/>
          <w:szCs w:val="17"/>
        </w:rPr>
        <w:t>dans le traitement de l’arthrose dans la princi</w:t>
      </w:r>
      <w:r>
        <w:rPr>
          <w:rFonts w:asciiTheme="majorHAnsi" w:hAnsiTheme="majorHAnsi" w:cs="AdvPA0C4"/>
          <w:szCs w:val="17"/>
        </w:rPr>
        <w:t>pale méta-analyse</w:t>
      </w:r>
      <w:r w:rsidR="001609CE">
        <w:rPr>
          <w:rFonts w:asciiTheme="majorHAnsi" w:hAnsiTheme="majorHAnsi" w:cs="AdvPA0C4"/>
          <w:szCs w:val="17"/>
        </w:rPr>
        <w:t xml:space="preserve"> sérieuse réalisée à ce jour (36</w:t>
      </w:r>
      <w:r>
        <w:rPr>
          <w:rFonts w:asciiTheme="majorHAnsi" w:hAnsiTheme="majorHAnsi" w:cs="AdvPA0C4"/>
          <w:szCs w:val="17"/>
        </w:rPr>
        <w:t xml:space="preserve">) avec un effet taille (ET) de seulement </w:t>
      </w:r>
      <w:r w:rsidRPr="00CC116D">
        <w:rPr>
          <w:rFonts w:asciiTheme="majorHAnsi" w:hAnsiTheme="majorHAnsi" w:cs="AdvPA0C4"/>
          <w:b/>
          <w:szCs w:val="17"/>
        </w:rPr>
        <w:t>0.21</w:t>
      </w:r>
      <w:r>
        <w:rPr>
          <w:rFonts w:asciiTheme="majorHAnsi" w:hAnsiTheme="majorHAnsi" w:cs="AdvPA0C4"/>
          <w:szCs w:val="17"/>
        </w:rPr>
        <w:t xml:space="preserve"> (Intervalle de Confiance à 95 % [IC] : 0.02 ; 0.41). Dans cette méta-analyse les AINS ont fait légèrement mieux sur la douleur : ET = 0.20 (IC 95 % : 0.10 ; 0.30). Les AINS ont aussi été responsables de plus d’effet indésirables gastro-intestinaux que le paracétamol </w:t>
      </w:r>
      <w:r w:rsidRPr="00435DDC">
        <w:rPr>
          <w:rFonts w:asciiTheme="majorHAnsi" w:hAnsiTheme="majorHAnsi" w:cs="AdvPA0C4"/>
          <w:szCs w:val="17"/>
        </w:rPr>
        <w:t xml:space="preserve">(RR = 1.35, </w:t>
      </w:r>
      <w:r>
        <w:rPr>
          <w:rFonts w:asciiTheme="majorHAnsi" w:hAnsiTheme="majorHAnsi" w:cs="AdvPA0C4"/>
          <w:szCs w:val="17"/>
        </w:rPr>
        <w:t>IC 95 %</w:t>
      </w:r>
      <w:r w:rsidRPr="00435DDC">
        <w:rPr>
          <w:rFonts w:asciiTheme="majorHAnsi" w:hAnsiTheme="majorHAnsi" w:cs="AdvPA0C4"/>
          <w:szCs w:val="17"/>
        </w:rPr>
        <w:t xml:space="preserve"> 1.05</w:t>
      </w:r>
      <w:r>
        <w:rPr>
          <w:rFonts w:asciiTheme="majorHAnsi" w:hAnsiTheme="majorHAnsi" w:cs="AdvPA0C4"/>
          <w:szCs w:val="17"/>
        </w:rPr>
        <w:t> </w:t>
      </w:r>
      <w:r w:rsidRPr="00435DDC">
        <w:rPr>
          <w:rFonts w:asciiTheme="majorHAnsi" w:hAnsiTheme="majorHAnsi" w:cs="AdvPA0C4"/>
          <w:szCs w:val="17"/>
        </w:rPr>
        <w:t>to</w:t>
      </w:r>
      <w:r>
        <w:rPr>
          <w:rFonts w:asciiTheme="majorHAnsi" w:hAnsiTheme="majorHAnsi" w:cs="AdvPA0C4"/>
          <w:szCs w:val="17"/>
        </w:rPr>
        <w:t> </w:t>
      </w:r>
      <w:r w:rsidRPr="00435DDC">
        <w:rPr>
          <w:rFonts w:asciiTheme="majorHAnsi" w:hAnsiTheme="majorHAnsi" w:cs="AdvPA0C4"/>
          <w:szCs w:val="17"/>
        </w:rPr>
        <w:t>1.75)</w:t>
      </w:r>
      <w:r>
        <w:rPr>
          <w:rFonts w:asciiTheme="majorHAnsi" w:hAnsiTheme="majorHAnsi" w:cs="AdvPA0C4"/>
          <w:szCs w:val="17"/>
        </w:rPr>
        <w:t>.</w:t>
      </w:r>
    </w:p>
    <w:p w14:paraId="43B4687C" w14:textId="77777777" w:rsidR="00CE63EE" w:rsidRPr="004225E6" w:rsidRDefault="00CE63EE">
      <w:pPr>
        <w:rPr>
          <w:rFonts w:asciiTheme="majorHAnsi" w:hAnsiTheme="majorHAnsi"/>
        </w:rPr>
      </w:pPr>
    </w:p>
    <w:p w14:paraId="7B192A85" w14:textId="77777777" w:rsidR="00CE63EE" w:rsidRPr="00CC116D" w:rsidRDefault="00CE63EE" w:rsidP="00CE63EE">
      <w:pPr>
        <w:autoSpaceDE w:val="0"/>
        <w:autoSpaceDN w:val="0"/>
        <w:adjustRightInd w:val="0"/>
        <w:rPr>
          <w:rFonts w:ascii="Calibri" w:hAnsi="Calibri"/>
          <w:b/>
          <w:i/>
        </w:rPr>
      </w:pPr>
      <w:r w:rsidRPr="00CC116D">
        <w:rPr>
          <w:rFonts w:ascii="Calibri" w:hAnsi="Calibri"/>
          <w:b/>
          <w:i/>
        </w:rPr>
        <w:t>Les</w:t>
      </w:r>
      <w:r>
        <w:rPr>
          <w:rFonts w:ascii="Calibri" w:hAnsi="Calibri"/>
          <w:b/>
          <w:i/>
        </w:rPr>
        <w:t xml:space="preserve"> </w:t>
      </w:r>
      <w:r w:rsidRPr="00CC116D">
        <w:rPr>
          <w:rFonts w:ascii="Calibri" w:hAnsi="Calibri"/>
          <w:b/>
          <w:i/>
        </w:rPr>
        <w:t xml:space="preserve">AINS. </w:t>
      </w:r>
    </w:p>
    <w:p w14:paraId="0F81297B" w14:textId="798918F7" w:rsidR="00CE63EE" w:rsidRDefault="00CE63EE" w:rsidP="00CE63EE">
      <w:pPr>
        <w:autoSpaceDE w:val="0"/>
        <w:autoSpaceDN w:val="0"/>
        <w:adjustRightInd w:val="0"/>
        <w:rPr>
          <w:rFonts w:ascii="Calibri" w:hAnsi="Calibri" w:cs="New-Baskerville-RomanA"/>
          <w:color w:val="292526"/>
          <w:szCs w:val="17"/>
        </w:rPr>
      </w:pPr>
      <w:r w:rsidRPr="00435DDC">
        <w:rPr>
          <w:rFonts w:ascii="Calibri" w:hAnsi="Calibri" w:cs="New-Baskerville-RomanA"/>
          <w:color w:val="292526"/>
          <w:szCs w:val="17"/>
        </w:rPr>
        <w:t xml:space="preserve">La </w:t>
      </w:r>
      <w:r>
        <w:rPr>
          <w:rFonts w:ascii="Calibri" w:hAnsi="Calibri" w:cs="New-Baskerville-RomanA"/>
          <w:color w:val="292526"/>
          <w:szCs w:val="17"/>
        </w:rPr>
        <w:t>diffé</w:t>
      </w:r>
      <w:r w:rsidRPr="00435DDC">
        <w:rPr>
          <w:rFonts w:ascii="Calibri" w:hAnsi="Calibri" w:cs="New-Baskerville-RomanA"/>
          <w:color w:val="292526"/>
          <w:szCs w:val="17"/>
        </w:rPr>
        <w:t>rence poolée pour la douleur sur échelle visuelle analogique</w:t>
      </w:r>
      <w:r>
        <w:rPr>
          <w:rFonts w:ascii="Calibri" w:hAnsi="Calibri" w:cs="New-Baskerville-RomanA"/>
          <w:color w:val="292526"/>
          <w:szCs w:val="17"/>
        </w:rPr>
        <w:t xml:space="preserve"> par rapport au placebo</w:t>
      </w:r>
      <w:r w:rsidRPr="00435DDC">
        <w:rPr>
          <w:rFonts w:ascii="Calibri" w:hAnsi="Calibri" w:cs="New-Baskerville-RomanA"/>
          <w:color w:val="292526"/>
          <w:szCs w:val="17"/>
        </w:rPr>
        <w:t xml:space="preserve"> a été de </w:t>
      </w:r>
      <w:r w:rsidRPr="00CC116D">
        <w:rPr>
          <w:rFonts w:ascii="Calibri" w:hAnsi="Calibri" w:cs="New-Baskerville-RomanA"/>
          <w:b/>
          <w:color w:val="292526"/>
          <w:szCs w:val="17"/>
        </w:rPr>
        <w:t>10.1</w:t>
      </w:r>
      <w:r>
        <w:rPr>
          <w:rFonts w:ascii="Calibri" w:hAnsi="Calibri" w:cs="New-Baskerville-RomanA"/>
          <w:b/>
          <w:color w:val="292526"/>
          <w:szCs w:val="17"/>
        </w:rPr>
        <w:t> </w:t>
      </w:r>
      <w:r w:rsidRPr="00CC116D">
        <w:rPr>
          <w:rFonts w:ascii="Calibri" w:hAnsi="Calibri" w:cs="New-Baskerville-RomanA"/>
          <w:b/>
          <w:color w:val="292526"/>
          <w:szCs w:val="17"/>
        </w:rPr>
        <w:t>mm</w:t>
      </w:r>
      <w:r w:rsidRPr="00435DDC">
        <w:rPr>
          <w:rFonts w:ascii="Calibri" w:hAnsi="Calibri" w:cs="New-Baskerville-RomanA"/>
          <w:color w:val="292526"/>
          <w:szCs w:val="17"/>
        </w:rPr>
        <w:t xml:space="preserve"> (</w:t>
      </w:r>
      <w:r>
        <w:rPr>
          <w:rFonts w:ascii="Calibri" w:hAnsi="Calibri" w:cs="New-Baskerville-RomanA"/>
          <w:color w:val="292526"/>
          <w:szCs w:val="17"/>
        </w:rPr>
        <w:t>IC 95 % :</w:t>
      </w:r>
      <w:r w:rsidRPr="00435DDC">
        <w:rPr>
          <w:rFonts w:ascii="Calibri" w:hAnsi="Calibri" w:cs="New-Baskerville-RomanA"/>
          <w:color w:val="292526"/>
          <w:szCs w:val="17"/>
        </w:rPr>
        <w:t xml:space="preserve"> 7.4</w:t>
      </w:r>
      <w:r>
        <w:rPr>
          <w:rFonts w:ascii="Calibri" w:hAnsi="Calibri" w:cs="New-Baskerville-RomanA"/>
          <w:color w:val="292526"/>
          <w:szCs w:val="17"/>
        </w:rPr>
        <w:t> </w:t>
      </w:r>
      <w:r w:rsidRPr="00435DDC">
        <w:rPr>
          <w:rFonts w:ascii="Calibri" w:hAnsi="Calibri" w:cs="New-Baskerville-RomanA"/>
          <w:color w:val="292526"/>
          <w:szCs w:val="17"/>
        </w:rPr>
        <w:t>to</w:t>
      </w:r>
      <w:r>
        <w:rPr>
          <w:rFonts w:ascii="Calibri" w:hAnsi="Calibri" w:cs="New-Baskerville-RomanA"/>
          <w:color w:val="292526"/>
          <w:szCs w:val="17"/>
        </w:rPr>
        <w:t> </w:t>
      </w:r>
      <w:r w:rsidRPr="00435DDC">
        <w:rPr>
          <w:rFonts w:ascii="Calibri" w:hAnsi="Calibri" w:cs="New-Baskerville-RomanA"/>
          <w:color w:val="292526"/>
          <w:szCs w:val="17"/>
        </w:rPr>
        <w:t>12.</w:t>
      </w:r>
      <w:r>
        <w:rPr>
          <w:rFonts w:ascii="Calibri" w:hAnsi="Calibri" w:cs="New-Baskerville-RomanA"/>
          <w:color w:val="292526"/>
          <w:szCs w:val="17"/>
        </w:rPr>
        <w:t>8) ou</w:t>
      </w:r>
      <w:r w:rsidRPr="00435DDC">
        <w:rPr>
          <w:rFonts w:ascii="Calibri" w:hAnsi="Calibri" w:cs="New-Baskerville-RomanA"/>
          <w:color w:val="292526"/>
          <w:szCs w:val="17"/>
        </w:rPr>
        <w:t xml:space="preserve"> 15.6</w:t>
      </w:r>
      <w:r>
        <w:rPr>
          <w:rFonts w:ascii="Calibri" w:hAnsi="Calibri" w:cs="New-Baskerville-RomanA"/>
          <w:color w:val="292526"/>
          <w:szCs w:val="17"/>
        </w:rPr>
        <w:t> %</w:t>
      </w:r>
      <w:r w:rsidRPr="00435DDC">
        <w:rPr>
          <w:rFonts w:ascii="Calibri" w:hAnsi="Calibri" w:cs="New-Baskerville-RomanA"/>
          <w:color w:val="292526"/>
          <w:szCs w:val="17"/>
        </w:rPr>
        <w:t xml:space="preserve"> </w:t>
      </w:r>
      <w:r w:rsidR="002F2A33">
        <w:rPr>
          <w:rFonts w:ascii="Calibri" w:hAnsi="Calibri" w:cs="New-Baskerville-RomanA"/>
          <w:color w:val="292526"/>
          <w:szCs w:val="17"/>
        </w:rPr>
        <w:t xml:space="preserve">de </w:t>
      </w:r>
      <w:r>
        <w:rPr>
          <w:rFonts w:ascii="Calibri" w:hAnsi="Calibri" w:cs="New-Baskerville-RomanA"/>
          <w:color w:val="292526"/>
          <w:szCs w:val="17"/>
        </w:rPr>
        <w:t>mieux que celui-ci à 2-13 semaines dans la principale méta-analyse réalisée sur l’effet antalgique des, AINS dans la gonarthrose</w:t>
      </w:r>
      <w:r w:rsidRPr="00435DDC">
        <w:rPr>
          <w:rFonts w:ascii="Calibri" w:hAnsi="Calibri" w:cs="New-Baskerville-RomanA"/>
          <w:color w:val="292526"/>
          <w:szCs w:val="17"/>
        </w:rPr>
        <w:t xml:space="preserve">. Les résultats étaient hétérogènes, et l’effet-taille sur la douleur de seulement </w:t>
      </w:r>
      <w:r w:rsidRPr="00CC116D">
        <w:rPr>
          <w:rFonts w:ascii="Calibri" w:hAnsi="Calibri" w:cs="New-Baskerville-RomanA"/>
          <w:b/>
          <w:color w:val="292526"/>
          <w:szCs w:val="17"/>
        </w:rPr>
        <w:t>0.32</w:t>
      </w:r>
      <w:r w:rsidRPr="00435DDC">
        <w:rPr>
          <w:rFonts w:ascii="Calibri" w:hAnsi="Calibri" w:cs="New-Baskerville-RomanA"/>
          <w:color w:val="292526"/>
          <w:szCs w:val="17"/>
        </w:rPr>
        <w:t xml:space="preserve"> (</w:t>
      </w:r>
      <w:r>
        <w:rPr>
          <w:rFonts w:ascii="Calibri" w:hAnsi="Calibri" w:cs="New-Baskerville-RomanA"/>
          <w:color w:val="292526"/>
          <w:szCs w:val="17"/>
        </w:rPr>
        <w:t xml:space="preserve">IC 95 % : </w:t>
      </w:r>
      <w:r w:rsidRPr="00435DDC">
        <w:rPr>
          <w:rFonts w:ascii="Calibri" w:hAnsi="Calibri" w:cs="New-Baskerville-RomanA"/>
          <w:color w:val="292526"/>
          <w:szCs w:val="17"/>
        </w:rPr>
        <w:t>0.24</w:t>
      </w:r>
      <w:r>
        <w:rPr>
          <w:rFonts w:ascii="Calibri" w:hAnsi="Calibri" w:cs="New-Baskerville-RomanA"/>
          <w:color w:val="292526"/>
          <w:szCs w:val="17"/>
        </w:rPr>
        <w:t> </w:t>
      </w:r>
      <w:r w:rsidRPr="00435DDC">
        <w:rPr>
          <w:rFonts w:ascii="Calibri" w:hAnsi="Calibri" w:cs="New-Baskerville-RomanA"/>
          <w:color w:val="292526"/>
          <w:szCs w:val="17"/>
        </w:rPr>
        <w:t>to</w:t>
      </w:r>
      <w:r>
        <w:rPr>
          <w:rFonts w:ascii="Calibri" w:hAnsi="Calibri" w:cs="New-Baskerville-RomanA"/>
          <w:color w:val="292526"/>
          <w:szCs w:val="17"/>
        </w:rPr>
        <w:t> </w:t>
      </w:r>
      <w:r w:rsidRPr="00435DDC">
        <w:rPr>
          <w:rFonts w:ascii="Calibri" w:hAnsi="Calibri" w:cs="New-Baskerville-RomanA"/>
          <w:color w:val="292526"/>
          <w:szCs w:val="17"/>
        </w:rPr>
        <w:t>0.39). Dans les 10 essais qui n’</w:t>
      </w:r>
      <w:r>
        <w:rPr>
          <w:rFonts w:ascii="Calibri" w:hAnsi="Calibri" w:cs="New-Baskerville-RomanA"/>
          <w:color w:val="292526"/>
          <w:szCs w:val="17"/>
        </w:rPr>
        <w:t>ont pas exclu</w:t>
      </w:r>
      <w:r w:rsidRPr="00435DDC">
        <w:rPr>
          <w:rFonts w:ascii="Calibri" w:hAnsi="Calibri" w:cs="New-Baskerville-RomanA"/>
          <w:color w:val="292526"/>
          <w:szCs w:val="17"/>
        </w:rPr>
        <w:t xml:space="preserve"> les non-répondeurs</w:t>
      </w:r>
      <w:r>
        <w:rPr>
          <w:rFonts w:ascii="Calibri" w:hAnsi="Calibri" w:cs="New-Baskerville-RomanA"/>
          <w:color w:val="292526"/>
          <w:szCs w:val="17"/>
        </w:rPr>
        <w:t xml:space="preserve"> au traitement par, AINS, les résultats étaient homogènes avec un ET pour la douleur de </w:t>
      </w:r>
      <w:r w:rsidRPr="00435DDC">
        <w:rPr>
          <w:rFonts w:ascii="Calibri" w:hAnsi="Calibri" w:cs="New-Baskerville-RomanA"/>
          <w:color w:val="292526"/>
          <w:szCs w:val="17"/>
        </w:rPr>
        <w:t>0.23 (</w:t>
      </w:r>
      <w:r>
        <w:rPr>
          <w:rFonts w:ascii="Calibri" w:hAnsi="Calibri" w:cs="New-Baskerville-RomanA"/>
          <w:color w:val="292526"/>
          <w:szCs w:val="17"/>
        </w:rPr>
        <w:t>IC 95 % : 0.15 to 0.31)</w:t>
      </w:r>
      <w:r w:rsidRPr="00435DDC">
        <w:rPr>
          <w:rFonts w:ascii="Calibri" w:hAnsi="Calibri" w:cs="New-Baskerville-RomanA"/>
          <w:color w:val="292526"/>
          <w:szCs w:val="17"/>
        </w:rPr>
        <w:t xml:space="preserve"> </w:t>
      </w:r>
      <w:r w:rsidR="001609CE">
        <w:rPr>
          <w:rFonts w:ascii="Calibri" w:hAnsi="Calibri" w:cs="New-Baskerville-RomanA"/>
          <w:color w:val="292526"/>
          <w:szCs w:val="17"/>
        </w:rPr>
        <w:t>(37</w:t>
      </w:r>
      <w:r w:rsidRPr="00435DDC">
        <w:rPr>
          <w:rFonts w:ascii="Calibri" w:hAnsi="Calibri" w:cs="New-Baskerville-RomanA"/>
          <w:color w:val="292526"/>
          <w:szCs w:val="17"/>
        </w:rPr>
        <w:t>)</w:t>
      </w:r>
      <w:r>
        <w:rPr>
          <w:rFonts w:ascii="Calibri" w:hAnsi="Calibri" w:cs="New-Baskerville-RomanA"/>
          <w:color w:val="292526"/>
          <w:szCs w:val="17"/>
        </w:rPr>
        <w:t>.</w:t>
      </w:r>
    </w:p>
    <w:p w14:paraId="6920FC38" w14:textId="77777777" w:rsidR="00CE63EE" w:rsidRDefault="00CE63EE" w:rsidP="00CE63EE">
      <w:pPr>
        <w:autoSpaceDE w:val="0"/>
        <w:autoSpaceDN w:val="0"/>
        <w:adjustRightInd w:val="0"/>
        <w:rPr>
          <w:rFonts w:ascii="Calibri" w:hAnsi="Calibri" w:cs="New-Baskerville-RomanA"/>
          <w:color w:val="292526"/>
          <w:szCs w:val="17"/>
        </w:rPr>
      </w:pPr>
    </w:p>
    <w:p w14:paraId="3178D473" w14:textId="77777777" w:rsidR="00CE63EE" w:rsidRPr="000801B0" w:rsidRDefault="00CE63EE" w:rsidP="00CE63EE">
      <w:pPr>
        <w:autoSpaceDE w:val="0"/>
        <w:autoSpaceDN w:val="0"/>
        <w:adjustRightInd w:val="0"/>
        <w:rPr>
          <w:rFonts w:ascii="Calibri" w:hAnsi="Calibri" w:cs="New-Baskerville-RomanA"/>
          <w:b/>
          <w:i/>
          <w:color w:val="292526"/>
          <w:szCs w:val="17"/>
        </w:rPr>
      </w:pPr>
      <w:r w:rsidRPr="000801B0">
        <w:rPr>
          <w:rFonts w:ascii="Calibri" w:hAnsi="Calibri" w:cs="New-Baskerville-RomanA"/>
          <w:b/>
          <w:i/>
          <w:color w:val="292526"/>
          <w:szCs w:val="17"/>
        </w:rPr>
        <w:t>Les opioïdes.</w:t>
      </w:r>
    </w:p>
    <w:p w14:paraId="037B0D08" w14:textId="0F8526FB" w:rsidR="00CE63EE" w:rsidRDefault="00CE63EE" w:rsidP="00CE63EE">
      <w:pPr>
        <w:autoSpaceDE w:val="0"/>
        <w:autoSpaceDN w:val="0"/>
        <w:adjustRightInd w:val="0"/>
        <w:rPr>
          <w:rFonts w:asciiTheme="majorHAnsi" w:hAnsiTheme="majorHAnsi" w:cs="AdvP6EC0"/>
        </w:rPr>
      </w:pPr>
      <w:r w:rsidRPr="00AB41A9">
        <w:rPr>
          <w:rFonts w:asciiTheme="majorHAnsi" w:hAnsiTheme="majorHAnsi" w:cs="AdvP6EC0"/>
        </w:rPr>
        <w:t xml:space="preserve">Sur 18 essais </w:t>
      </w:r>
      <w:r>
        <w:rPr>
          <w:rFonts w:asciiTheme="majorHAnsi" w:hAnsiTheme="majorHAnsi" w:cs="AdvP6EC0"/>
        </w:rPr>
        <w:t>randomisé</w:t>
      </w:r>
      <w:r w:rsidRPr="00AB41A9">
        <w:rPr>
          <w:rFonts w:asciiTheme="majorHAnsi" w:hAnsiTheme="majorHAnsi" w:cs="AdvP6EC0"/>
        </w:rPr>
        <w:t xml:space="preserve">s </w:t>
      </w:r>
      <w:r>
        <w:rPr>
          <w:rFonts w:asciiTheme="majorHAnsi" w:hAnsiTheme="majorHAnsi" w:cs="AdvP6EC0"/>
        </w:rPr>
        <w:t>analysé</w:t>
      </w:r>
      <w:r w:rsidRPr="00AB41A9">
        <w:rPr>
          <w:rFonts w:asciiTheme="majorHAnsi" w:hAnsiTheme="majorHAnsi" w:cs="AdvP6EC0"/>
        </w:rPr>
        <w:t>s</w:t>
      </w:r>
      <w:r>
        <w:rPr>
          <w:rFonts w:asciiTheme="majorHAnsi" w:hAnsiTheme="majorHAnsi" w:cs="AdvP6EC0"/>
        </w:rPr>
        <w:t xml:space="preserve"> dans l’arthrose</w:t>
      </w:r>
      <w:r w:rsidRPr="00AB41A9">
        <w:rPr>
          <w:rFonts w:asciiTheme="majorHAnsi" w:hAnsiTheme="majorHAnsi" w:cs="AdvP6EC0"/>
        </w:rPr>
        <w:t>, l’</w:t>
      </w:r>
      <w:r>
        <w:rPr>
          <w:rFonts w:asciiTheme="majorHAnsi" w:hAnsiTheme="majorHAnsi" w:cs="AdvP6EC0"/>
        </w:rPr>
        <w:t>Effet-</w:t>
      </w:r>
      <w:r w:rsidR="001609CE">
        <w:rPr>
          <w:rFonts w:asciiTheme="majorHAnsi" w:hAnsiTheme="majorHAnsi" w:cs="AdvP6EC0"/>
        </w:rPr>
        <w:t>Taille poolé des opioï</w:t>
      </w:r>
      <w:r w:rsidRPr="00AB41A9">
        <w:rPr>
          <w:rFonts w:asciiTheme="majorHAnsi" w:hAnsiTheme="majorHAnsi" w:cs="AdvP6EC0"/>
        </w:rPr>
        <w:t>d</w:t>
      </w:r>
      <w:r>
        <w:rPr>
          <w:rFonts w:asciiTheme="majorHAnsi" w:hAnsiTheme="majorHAnsi" w:cs="AdvP6EC0"/>
        </w:rPr>
        <w:t>e</w:t>
      </w:r>
      <w:r w:rsidRPr="00AB41A9">
        <w:rPr>
          <w:rFonts w:asciiTheme="majorHAnsi" w:hAnsiTheme="majorHAnsi" w:cs="AdvP6EC0"/>
        </w:rPr>
        <w:t xml:space="preserve">s versus placebo a été </w:t>
      </w:r>
      <w:r>
        <w:rPr>
          <w:rFonts w:asciiTheme="majorHAnsi" w:hAnsiTheme="majorHAnsi" w:cs="AdvP6EC0"/>
        </w:rPr>
        <w:t>pour l’intensité de la douleur de -0.79 (IC 95 % : -0.98 ; -</w:t>
      </w:r>
      <w:r w:rsidRPr="00AB41A9">
        <w:rPr>
          <w:rFonts w:asciiTheme="majorHAnsi" w:hAnsiTheme="majorHAnsi" w:cs="AdvP6EC0"/>
        </w:rPr>
        <w:t>0.59</w:t>
      </w:r>
      <w:r>
        <w:rPr>
          <w:rFonts w:asciiTheme="majorHAnsi" w:hAnsiTheme="majorHAnsi" w:cs="AdvP6EC0"/>
        </w:rPr>
        <w:t xml:space="preserve">) et de -0.31 pour la gêne fonctionnelle (IC 95 % : </w:t>
      </w:r>
      <w:r>
        <w:rPr>
          <w:rFonts w:asciiTheme="majorHAnsi" w:hAnsiTheme="majorHAnsi" w:cs="AdvP4C4E74"/>
        </w:rPr>
        <w:t>-</w:t>
      </w:r>
      <w:r>
        <w:rPr>
          <w:rFonts w:asciiTheme="majorHAnsi" w:hAnsiTheme="majorHAnsi" w:cs="AdvP6EC0"/>
        </w:rPr>
        <w:t>0.39 ; -0.24)</w:t>
      </w:r>
      <w:r w:rsidRPr="00AB41A9">
        <w:rPr>
          <w:rFonts w:asciiTheme="majorHAnsi" w:hAnsiTheme="majorHAnsi" w:cs="AdvP6EC0"/>
        </w:rPr>
        <w:t xml:space="preserve">. </w:t>
      </w:r>
    </w:p>
    <w:p w14:paraId="27C75BBF" w14:textId="2790235C" w:rsidR="002F2A33" w:rsidRDefault="002F2A33" w:rsidP="002F2A33">
      <w:pPr>
        <w:autoSpaceDE w:val="0"/>
        <w:autoSpaceDN w:val="0"/>
        <w:adjustRightInd w:val="0"/>
        <w:rPr>
          <w:rFonts w:asciiTheme="majorHAnsi" w:hAnsiTheme="majorHAnsi" w:cs="AdvP6EC0"/>
        </w:rPr>
      </w:pPr>
      <w:r>
        <w:rPr>
          <w:rFonts w:asciiTheme="majorHAnsi" w:hAnsiTheme="majorHAnsi" w:cs="AdvP6EC0"/>
        </w:rPr>
        <w:t>Mais les opioïdes</w:t>
      </w:r>
      <w:r w:rsidRPr="00AB41A9">
        <w:rPr>
          <w:rFonts w:asciiTheme="majorHAnsi" w:hAnsiTheme="majorHAnsi" w:cs="AdvP6EC0"/>
        </w:rPr>
        <w:t xml:space="preserve"> </w:t>
      </w:r>
      <w:r>
        <w:rPr>
          <w:rFonts w:asciiTheme="majorHAnsi" w:hAnsiTheme="majorHAnsi" w:cs="AdvP6EC0"/>
        </w:rPr>
        <w:t>ont une très mauvaise tolérance, en particulier chez le sujet âgé où ils sont responsables de chutes et auraient aussi des effets cardio-vasculaires.</w:t>
      </w:r>
    </w:p>
    <w:p w14:paraId="22AFA9CD" w14:textId="6D0EF6D8" w:rsidR="00CE63EE" w:rsidRPr="00AB41A9" w:rsidRDefault="002F2A33" w:rsidP="002F2A33">
      <w:pPr>
        <w:autoSpaceDE w:val="0"/>
        <w:autoSpaceDN w:val="0"/>
        <w:adjustRightInd w:val="0"/>
        <w:rPr>
          <w:rFonts w:asciiTheme="majorHAnsi" w:hAnsiTheme="majorHAnsi" w:cs="New-Baskerville-RomanA"/>
          <w:color w:val="292526"/>
        </w:rPr>
      </w:pPr>
      <w:r>
        <w:rPr>
          <w:rFonts w:asciiTheme="majorHAnsi" w:hAnsiTheme="majorHAnsi" w:cs="AdvP6EC0"/>
        </w:rPr>
        <w:t xml:space="preserve">Dans cette méta-analyse, le </w:t>
      </w:r>
      <w:r w:rsidR="00CE63EE">
        <w:rPr>
          <w:rFonts w:asciiTheme="majorHAnsi" w:hAnsiTheme="majorHAnsi" w:cs="AdvP6EC0"/>
        </w:rPr>
        <w:t>Nombre Nécessaire de Patients à traiter pour un effet indésirable était de</w:t>
      </w:r>
      <w:r w:rsidR="00CE63EE" w:rsidRPr="00AB41A9">
        <w:rPr>
          <w:rFonts w:asciiTheme="majorHAnsi" w:hAnsiTheme="majorHAnsi" w:cs="AdvP6EC0"/>
        </w:rPr>
        <w:t xml:space="preserve"> 5 vs placebo.</w:t>
      </w:r>
      <w:r w:rsidR="00CE63EE">
        <w:rPr>
          <w:rFonts w:asciiTheme="majorHAnsi" w:hAnsiTheme="majorHAnsi" w:cs="AdvP6EC0"/>
        </w:rPr>
        <w:t xml:space="preserve"> Les effets indésirables les plus fréquents sont : nausée</w:t>
      </w:r>
      <w:r w:rsidR="00CE63EE" w:rsidRPr="00AB41A9">
        <w:rPr>
          <w:rFonts w:asciiTheme="majorHAnsi" w:hAnsiTheme="majorHAnsi" w:cs="AdvP6EC0"/>
        </w:rPr>
        <w:t xml:space="preserve"> (30</w:t>
      </w:r>
      <w:r w:rsidR="00CE63EE">
        <w:rPr>
          <w:rFonts w:asciiTheme="majorHAnsi" w:hAnsiTheme="majorHAnsi" w:cs="AdvP6EC0"/>
        </w:rPr>
        <w:t> %</w:t>
      </w:r>
      <w:r w:rsidR="00CE63EE" w:rsidRPr="00AB41A9">
        <w:rPr>
          <w:rFonts w:asciiTheme="majorHAnsi" w:hAnsiTheme="majorHAnsi" w:cs="AdvP6EC0"/>
        </w:rPr>
        <w:t>), constipation (23</w:t>
      </w:r>
      <w:r w:rsidR="00CE63EE">
        <w:rPr>
          <w:rFonts w:asciiTheme="majorHAnsi" w:hAnsiTheme="majorHAnsi" w:cs="AdvP6EC0"/>
        </w:rPr>
        <w:t> %</w:t>
      </w:r>
      <w:r w:rsidR="00CE63EE" w:rsidRPr="00AB41A9">
        <w:rPr>
          <w:rFonts w:asciiTheme="majorHAnsi" w:hAnsiTheme="majorHAnsi" w:cs="AdvP6EC0"/>
        </w:rPr>
        <w:t xml:space="preserve">), </w:t>
      </w:r>
      <w:r w:rsidR="00CE63EE">
        <w:rPr>
          <w:rFonts w:asciiTheme="majorHAnsi" w:hAnsiTheme="majorHAnsi" w:cs="AdvP6EC0"/>
        </w:rPr>
        <w:t xml:space="preserve">vertiges </w:t>
      </w:r>
      <w:r w:rsidR="00CE63EE" w:rsidRPr="00AB41A9">
        <w:rPr>
          <w:rFonts w:asciiTheme="majorHAnsi" w:hAnsiTheme="majorHAnsi" w:cs="AdvP6EC0"/>
        </w:rPr>
        <w:t>(20</w:t>
      </w:r>
      <w:r w:rsidR="00CE63EE">
        <w:rPr>
          <w:rFonts w:asciiTheme="majorHAnsi" w:hAnsiTheme="majorHAnsi" w:cs="AdvP6EC0"/>
        </w:rPr>
        <w:t xml:space="preserve"> %), somnolence (18 %) and vomissements </w:t>
      </w:r>
      <w:r w:rsidR="00CE63EE" w:rsidRPr="00AB41A9">
        <w:rPr>
          <w:rFonts w:asciiTheme="majorHAnsi" w:hAnsiTheme="majorHAnsi" w:cs="AdvP6EC0"/>
        </w:rPr>
        <w:t>(13</w:t>
      </w:r>
      <w:r w:rsidR="00CE63EE">
        <w:rPr>
          <w:rFonts w:asciiTheme="majorHAnsi" w:hAnsiTheme="majorHAnsi" w:cs="AdvP6EC0"/>
        </w:rPr>
        <w:t> %</w:t>
      </w:r>
      <w:r w:rsidR="00CE63EE" w:rsidRPr="00AB41A9">
        <w:rPr>
          <w:rFonts w:asciiTheme="majorHAnsi" w:hAnsiTheme="majorHAnsi" w:cs="AdvP6EC0"/>
        </w:rPr>
        <w:t>).</w:t>
      </w:r>
      <w:r w:rsidR="00CE63EE">
        <w:rPr>
          <w:rFonts w:asciiTheme="majorHAnsi" w:hAnsiTheme="majorHAnsi" w:cs="AdvP6EC0"/>
        </w:rPr>
        <w:t xml:space="preserve"> Le taux d’interruptions prématurées de traitement pour toxicité a été de 25 %, </w:t>
      </w:r>
      <w:r w:rsidR="00CE63EE" w:rsidRPr="00AB41A9">
        <w:rPr>
          <w:rFonts w:asciiTheme="majorHAnsi" w:hAnsiTheme="majorHAnsi" w:cs="AdvP6EC0"/>
        </w:rPr>
        <w:t>31</w:t>
      </w:r>
      <w:r w:rsidR="00CE63EE">
        <w:rPr>
          <w:rFonts w:asciiTheme="majorHAnsi" w:hAnsiTheme="majorHAnsi" w:cs="AdvP6EC0"/>
        </w:rPr>
        <w:t xml:space="preserve"> % pour les opioïdes forts et </w:t>
      </w:r>
      <w:r w:rsidR="00CE63EE" w:rsidRPr="00AB41A9">
        <w:rPr>
          <w:rFonts w:asciiTheme="majorHAnsi" w:hAnsiTheme="majorHAnsi" w:cs="AdvP6EC0"/>
        </w:rPr>
        <w:t>19</w:t>
      </w:r>
      <w:r w:rsidR="00CE63EE">
        <w:rPr>
          <w:rFonts w:asciiTheme="majorHAnsi" w:hAnsiTheme="majorHAnsi" w:cs="AdvP6EC0"/>
        </w:rPr>
        <w:t> %</w:t>
      </w:r>
      <w:r w:rsidR="00CE63EE" w:rsidRPr="00AB41A9">
        <w:rPr>
          <w:rFonts w:asciiTheme="majorHAnsi" w:hAnsiTheme="majorHAnsi" w:cs="AdvP6EC0"/>
        </w:rPr>
        <w:t xml:space="preserve"> </w:t>
      </w:r>
      <w:r w:rsidR="00CE63EE">
        <w:rPr>
          <w:rFonts w:asciiTheme="majorHAnsi" w:hAnsiTheme="majorHAnsi" w:cs="AdvP6EC0"/>
        </w:rPr>
        <w:t>pour les opioïdes faibles vs</w:t>
      </w:r>
      <w:r w:rsidR="00CE63EE" w:rsidRPr="00AB41A9">
        <w:rPr>
          <w:rFonts w:asciiTheme="majorHAnsi" w:hAnsiTheme="majorHAnsi" w:cs="AdvP6EC0"/>
        </w:rPr>
        <w:t xml:space="preserve"> 7</w:t>
      </w:r>
      <w:r w:rsidR="00CE63EE">
        <w:rPr>
          <w:rFonts w:asciiTheme="majorHAnsi" w:hAnsiTheme="majorHAnsi" w:cs="AdvP6EC0"/>
        </w:rPr>
        <w:t> %</w:t>
      </w:r>
      <w:r w:rsidR="00CE63EE" w:rsidRPr="00AB41A9">
        <w:rPr>
          <w:rFonts w:asciiTheme="majorHAnsi" w:hAnsiTheme="majorHAnsi" w:cs="AdvP6EC0"/>
        </w:rPr>
        <w:t xml:space="preserve"> </w:t>
      </w:r>
      <w:r w:rsidR="001609CE">
        <w:rPr>
          <w:rFonts w:asciiTheme="majorHAnsi" w:hAnsiTheme="majorHAnsi" w:cs="AdvP6EC0"/>
        </w:rPr>
        <w:t>sous placebo (38</w:t>
      </w:r>
      <w:r w:rsidR="00CE63EE">
        <w:rPr>
          <w:rFonts w:asciiTheme="majorHAnsi" w:hAnsiTheme="majorHAnsi" w:cs="AdvP6EC0"/>
        </w:rPr>
        <w:t>).</w:t>
      </w:r>
    </w:p>
    <w:p w14:paraId="4811D24C" w14:textId="77777777" w:rsidR="00CE63EE" w:rsidRPr="00AB41A9" w:rsidRDefault="00CE63EE" w:rsidP="00CE63EE">
      <w:pPr>
        <w:autoSpaceDE w:val="0"/>
        <w:autoSpaceDN w:val="0"/>
        <w:adjustRightInd w:val="0"/>
        <w:rPr>
          <w:rFonts w:ascii="Calibri" w:hAnsi="Calibri" w:cs="New-Baskerville-RomanA"/>
          <w:color w:val="292526"/>
          <w:szCs w:val="17"/>
        </w:rPr>
      </w:pPr>
    </w:p>
    <w:p w14:paraId="6EBD899E" w14:textId="77777777" w:rsidR="00CE63EE" w:rsidRPr="000801B0" w:rsidRDefault="00CE63EE" w:rsidP="00CE63EE">
      <w:pPr>
        <w:autoSpaceDE w:val="0"/>
        <w:autoSpaceDN w:val="0"/>
        <w:adjustRightInd w:val="0"/>
        <w:rPr>
          <w:rFonts w:ascii="Calibri" w:hAnsi="Calibri" w:cs="New-Baskerville-RomanA"/>
          <w:b/>
          <w:i/>
          <w:color w:val="292526"/>
          <w:szCs w:val="17"/>
        </w:rPr>
      </w:pPr>
      <w:r w:rsidRPr="000801B0">
        <w:rPr>
          <w:rFonts w:ascii="Calibri" w:hAnsi="Calibri" w:cs="New-Baskerville-RomanA"/>
          <w:b/>
          <w:i/>
          <w:color w:val="292526"/>
          <w:szCs w:val="17"/>
        </w:rPr>
        <w:t>Les injections intra-articulaires de corticostéroïdes.</w:t>
      </w:r>
    </w:p>
    <w:p w14:paraId="785574B2" w14:textId="607E1A4A" w:rsidR="00CE63EE" w:rsidRDefault="00CE63EE" w:rsidP="00CE63EE">
      <w:pPr>
        <w:autoSpaceDE w:val="0"/>
        <w:autoSpaceDN w:val="0"/>
        <w:adjustRightInd w:val="0"/>
        <w:rPr>
          <w:rFonts w:ascii="Calibri" w:hAnsi="Calibri" w:cs="New-Baskerville-RomanA"/>
          <w:color w:val="292526"/>
          <w:szCs w:val="17"/>
        </w:rPr>
      </w:pPr>
      <w:r>
        <w:rPr>
          <w:rFonts w:ascii="Calibri" w:hAnsi="Calibri" w:cs="New-Baskerville-RomanA"/>
          <w:color w:val="292526"/>
          <w:szCs w:val="17"/>
        </w:rPr>
        <w:t>Cinq essais randomisés contrôlés seulement ont été réalisés dans la gonarthrose aboutissant à une différence modeste par rapport au placebo sur la douleur, probablement plus importante chez les patien</w:t>
      </w:r>
      <w:r w:rsidR="001609CE">
        <w:rPr>
          <w:rFonts w:ascii="Calibri" w:hAnsi="Calibri" w:cs="New-Baskerville-RomanA"/>
          <w:color w:val="292526"/>
          <w:szCs w:val="17"/>
        </w:rPr>
        <w:t>ts en poussée hydarthrodiale (39</w:t>
      </w:r>
      <w:r>
        <w:rPr>
          <w:rFonts w:ascii="Calibri" w:hAnsi="Calibri" w:cs="New-Baskerville-RomanA"/>
          <w:color w:val="292526"/>
          <w:szCs w:val="17"/>
        </w:rPr>
        <w:t xml:space="preserve">). Mais les essais n’ont malheureusement pas été réalisés </w:t>
      </w:r>
      <w:r w:rsidR="003E24A5">
        <w:rPr>
          <w:rFonts w:ascii="Calibri" w:hAnsi="Calibri" w:cs="New-Baskerville-RomanA"/>
          <w:color w:val="292526"/>
          <w:szCs w:val="17"/>
        </w:rPr>
        <w:t xml:space="preserve">systématiquement </w:t>
      </w:r>
      <w:r>
        <w:rPr>
          <w:rFonts w:ascii="Calibri" w:hAnsi="Calibri" w:cs="New-Baskerville-RomanA"/>
          <w:color w:val="292526"/>
          <w:szCs w:val="17"/>
        </w:rPr>
        <w:t>chez ce type de patients, en poussée inflammatoire, susceptibles de mi</w:t>
      </w:r>
      <w:r w:rsidR="001609CE">
        <w:rPr>
          <w:rFonts w:ascii="Calibri" w:hAnsi="Calibri" w:cs="New-Baskerville-RomanA"/>
          <w:color w:val="292526"/>
          <w:szCs w:val="17"/>
        </w:rPr>
        <w:t>eux répondre à ce traitement (39, 40</w:t>
      </w:r>
      <w:r>
        <w:rPr>
          <w:rFonts w:ascii="Calibri" w:hAnsi="Calibri" w:cs="New-Baskerville-RomanA"/>
          <w:color w:val="292526"/>
          <w:szCs w:val="17"/>
        </w:rPr>
        <w:t>).</w:t>
      </w:r>
    </w:p>
    <w:p w14:paraId="016ACC13" w14:textId="77777777" w:rsidR="00CE63EE" w:rsidRPr="00435DDC" w:rsidRDefault="00CE63EE" w:rsidP="00CE63EE">
      <w:pPr>
        <w:autoSpaceDE w:val="0"/>
        <w:autoSpaceDN w:val="0"/>
        <w:adjustRightInd w:val="0"/>
        <w:rPr>
          <w:rFonts w:ascii="Calibri" w:hAnsi="Calibri" w:cs="New-Baskerville-RomanA"/>
          <w:color w:val="292526"/>
          <w:szCs w:val="17"/>
        </w:rPr>
      </w:pPr>
    </w:p>
    <w:p w14:paraId="7923AEAB" w14:textId="77777777" w:rsidR="00CE63EE" w:rsidRDefault="00CE63EE">
      <w:pPr>
        <w:rPr>
          <w:rFonts w:asciiTheme="majorHAnsi" w:hAnsiTheme="majorHAnsi"/>
        </w:rPr>
      </w:pPr>
    </w:p>
    <w:p w14:paraId="68F0D80C" w14:textId="77777777" w:rsidR="00CE63EE" w:rsidRPr="00CA1A83" w:rsidRDefault="00CE63EE">
      <w:pPr>
        <w:rPr>
          <w:rFonts w:asciiTheme="majorHAnsi" w:hAnsiTheme="majorHAnsi"/>
          <w:b/>
        </w:rPr>
      </w:pPr>
      <w:r>
        <w:rPr>
          <w:rFonts w:asciiTheme="majorHAnsi" w:hAnsiTheme="majorHAnsi"/>
          <w:b/>
        </w:rPr>
        <w:t>5</w:t>
      </w:r>
      <w:r w:rsidRPr="00CA1A83">
        <w:rPr>
          <w:rFonts w:asciiTheme="majorHAnsi" w:hAnsiTheme="majorHAnsi"/>
          <w:b/>
        </w:rPr>
        <w:t>. Le traitement de la gonarthrose : la prothèse totale ?</w:t>
      </w:r>
    </w:p>
    <w:p w14:paraId="7A9D2863" w14:textId="77777777" w:rsidR="00CE63EE" w:rsidRDefault="00CE63EE">
      <w:pPr>
        <w:rPr>
          <w:rFonts w:asciiTheme="majorHAnsi" w:hAnsiTheme="majorHAnsi"/>
        </w:rPr>
      </w:pPr>
    </w:p>
    <w:p w14:paraId="7A234A9C" w14:textId="4664CE77" w:rsidR="00CE63EE" w:rsidRDefault="00CE63EE">
      <w:pPr>
        <w:rPr>
          <w:rFonts w:asciiTheme="majorHAnsi" w:hAnsiTheme="majorHAnsi"/>
        </w:rPr>
      </w:pPr>
      <w:r>
        <w:rPr>
          <w:rFonts w:asciiTheme="majorHAnsi" w:hAnsiTheme="majorHAnsi"/>
        </w:rPr>
        <w:t xml:space="preserve">Si l’éventail thérapeutique pharmacologique se réduit, les traitements non pharmacologiques </w:t>
      </w:r>
      <w:r w:rsidR="003E24A5">
        <w:rPr>
          <w:rFonts w:asciiTheme="majorHAnsi" w:hAnsiTheme="majorHAnsi"/>
        </w:rPr>
        <w:t xml:space="preserve">(perte de poids, exercices, orthèses et aides diverses, cures thermales) </w:t>
      </w:r>
      <w:r>
        <w:rPr>
          <w:rFonts w:asciiTheme="majorHAnsi" w:hAnsiTheme="majorHAnsi"/>
        </w:rPr>
        <w:t xml:space="preserve">ne suffisant pas seuls à soulager les patients et n’étant souvent pas perçus comme crédibles par ceux-ci (ou plus exactement n’étant pas perçus comme reflétant une véritable écoute et prise au sérieux des attentes des patients par leurs praticiens), la porte est ouverte pour deux types d’options : </w:t>
      </w:r>
    </w:p>
    <w:p w14:paraId="36F22B33" w14:textId="77777777" w:rsidR="00CE63EE" w:rsidRDefault="00CE63EE" w:rsidP="00CE63EE">
      <w:pPr>
        <w:ind w:firstLine="708"/>
        <w:rPr>
          <w:rFonts w:asciiTheme="majorHAnsi" w:hAnsiTheme="majorHAnsi"/>
        </w:rPr>
      </w:pPr>
      <w:r>
        <w:rPr>
          <w:rFonts w:asciiTheme="majorHAnsi" w:hAnsiTheme="majorHAnsi"/>
        </w:rPr>
        <w:t xml:space="preserve">les « patamédecines » </w:t>
      </w:r>
    </w:p>
    <w:p w14:paraId="037005FE" w14:textId="77777777" w:rsidR="00CE63EE" w:rsidRDefault="00CE63EE" w:rsidP="00CE63EE">
      <w:pPr>
        <w:ind w:firstLine="708"/>
        <w:rPr>
          <w:rFonts w:asciiTheme="majorHAnsi" w:hAnsiTheme="majorHAnsi"/>
        </w:rPr>
      </w:pPr>
      <w:r>
        <w:rPr>
          <w:rFonts w:asciiTheme="majorHAnsi" w:hAnsiTheme="majorHAnsi"/>
        </w:rPr>
        <w:t>et/ou l’augmentation et l’accélération du recours à la prothèse totale de genou, avec ses conséquences :</w:t>
      </w:r>
    </w:p>
    <w:p w14:paraId="7BA2992B" w14:textId="77777777" w:rsidR="00CE63EE" w:rsidRDefault="00CE63EE" w:rsidP="00CE63EE">
      <w:pPr>
        <w:ind w:firstLine="708"/>
        <w:rPr>
          <w:rFonts w:asciiTheme="majorHAnsi" w:hAnsiTheme="majorHAnsi"/>
        </w:rPr>
      </w:pPr>
    </w:p>
    <w:p w14:paraId="27DAF3CB" w14:textId="6A8EDFF9" w:rsidR="00CE63EE" w:rsidRDefault="00CE63EE" w:rsidP="00CE63EE">
      <w:pPr>
        <w:ind w:firstLine="708"/>
        <w:rPr>
          <w:rFonts w:asciiTheme="majorHAnsi" w:hAnsiTheme="majorHAnsi"/>
        </w:rPr>
      </w:pPr>
      <w:r>
        <w:rPr>
          <w:rFonts w:asciiTheme="majorHAnsi" w:hAnsiTheme="majorHAnsi"/>
        </w:rPr>
        <w:t xml:space="preserve">a/un certain nombre d’échecs, avec des patients trainant </w:t>
      </w:r>
      <w:r w:rsidR="003E24A5">
        <w:rPr>
          <w:rFonts w:asciiTheme="majorHAnsi" w:hAnsiTheme="majorHAnsi"/>
        </w:rPr>
        <w:t xml:space="preserve">une </w:t>
      </w:r>
      <w:r>
        <w:rPr>
          <w:rFonts w:asciiTheme="majorHAnsi" w:hAnsiTheme="majorHAnsi"/>
        </w:rPr>
        <w:t xml:space="preserve">douleur et </w:t>
      </w:r>
      <w:r w:rsidR="003E24A5">
        <w:rPr>
          <w:rFonts w:asciiTheme="majorHAnsi" w:hAnsiTheme="majorHAnsi"/>
        </w:rPr>
        <w:t xml:space="preserve">un </w:t>
      </w:r>
      <w:r>
        <w:rPr>
          <w:rFonts w:asciiTheme="majorHAnsi" w:hAnsiTheme="majorHAnsi"/>
        </w:rPr>
        <w:t>handicap supérieur</w:t>
      </w:r>
      <w:r w:rsidR="003E24A5">
        <w:rPr>
          <w:rFonts w:asciiTheme="majorHAnsi" w:hAnsiTheme="majorHAnsi"/>
        </w:rPr>
        <w:t>s</w:t>
      </w:r>
      <w:r>
        <w:rPr>
          <w:rFonts w:asciiTheme="majorHAnsi" w:hAnsiTheme="majorHAnsi"/>
        </w:rPr>
        <w:t xml:space="preserve"> à ce qu’ils étaient avant la chirurgie et allant de consultation en consultation pour essayer de trouver une solution. On peut sans doute estimer à 25 % environ les patients franchement non améliorés, voire aggravés après PTG (et cela a un coût médical et social !).</w:t>
      </w:r>
    </w:p>
    <w:p w14:paraId="15C77F40" w14:textId="77777777" w:rsidR="00CE63EE" w:rsidRDefault="00CE63EE" w:rsidP="00CE63EE">
      <w:pPr>
        <w:ind w:left="708"/>
        <w:rPr>
          <w:rFonts w:asciiTheme="majorHAnsi" w:hAnsiTheme="majorHAnsi"/>
        </w:rPr>
      </w:pPr>
      <w:r>
        <w:rPr>
          <w:rFonts w:asciiTheme="majorHAnsi" w:hAnsiTheme="majorHAnsi"/>
        </w:rPr>
        <w:lastRenderedPageBreak/>
        <w:t>b/du fait d’un recours plus précoce à la PTG, un taux de reprises supérieur, avec la iatrogénie qui l’accompagne, notamment plus de sepsis postopératoires.</w:t>
      </w:r>
    </w:p>
    <w:p w14:paraId="21697F30" w14:textId="77777777" w:rsidR="00CE63EE" w:rsidRDefault="00CE63EE" w:rsidP="00CE63EE">
      <w:pPr>
        <w:ind w:firstLine="708"/>
        <w:rPr>
          <w:rFonts w:asciiTheme="majorHAnsi" w:hAnsiTheme="majorHAnsi"/>
        </w:rPr>
      </w:pPr>
      <w:r>
        <w:rPr>
          <w:rFonts w:asciiTheme="majorHAnsi" w:hAnsiTheme="majorHAnsi"/>
        </w:rPr>
        <w:t>c/une augmentation de la iatrogénicité liée à la multiplication des PTG :</w:t>
      </w:r>
    </w:p>
    <w:p w14:paraId="67410C1B" w14:textId="77777777" w:rsidR="00CE63EE" w:rsidRDefault="00CE63EE" w:rsidP="009B0F37">
      <w:pPr>
        <w:ind w:left="708" w:firstLine="708"/>
        <w:rPr>
          <w:rFonts w:asciiTheme="majorHAnsi" w:hAnsiTheme="majorHAnsi"/>
        </w:rPr>
      </w:pPr>
      <w:r>
        <w:rPr>
          <w:rFonts w:asciiTheme="majorHAnsi" w:hAnsiTheme="majorHAnsi"/>
        </w:rPr>
        <w:t>accidents thromboemboliques ;</w:t>
      </w:r>
    </w:p>
    <w:p w14:paraId="457A6670" w14:textId="77777777" w:rsidR="00CE63EE" w:rsidRDefault="00CE63EE" w:rsidP="009B0F37">
      <w:pPr>
        <w:ind w:left="1416"/>
        <w:rPr>
          <w:rFonts w:asciiTheme="majorHAnsi" w:hAnsiTheme="majorHAnsi"/>
        </w:rPr>
      </w:pPr>
      <w:r>
        <w:rPr>
          <w:rFonts w:asciiTheme="majorHAnsi" w:hAnsiTheme="majorHAnsi"/>
        </w:rPr>
        <w:t>infections post opératoires ;</w:t>
      </w:r>
    </w:p>
    <w:p w14:paraId="03B8AF7B" w14:textId="77777777" w:rsidR="00CE63EE" w:rsidRDefault="00CE63EE" w:rsidP="009B0F37">
      <w:pPr>
        <w:ind w:left="708" w:firstLine="708"/>
        <w:rPr>
          <w:rFonts w:asciiTheme="majorHAnsi" w:hAnsiTheme="majorHAnsi"/>
        </w:rPr>
      </w:pPr>
      <w:r>
        <w:rPr>
          <w:rFonts w:asciiTheme="majorHAnsi" w:hAnsiTheme="majorHAnsi"/>
        </w:rPr>
        <w:t>douleurs neuropathiques post-chirurgicales ;</w:t>
      </w:r>
    </w:p>
    <w:p w14:paraId="5F30BE86" w14:textId="77777777" w:rsidR="00CE63EE" w:rsidRDefault="00CE63EE" w:rsidP="009B0F37">
      <w:pPr>
        <w:ind w:left="708" w:firstLine="708"/>
        <w:rPr>
          <w:rFonts w:asciiTheme="majorHAnsi" w:hAnsiTheme="majorHAnsi"/>
        </w:rPr>
      </w:pPr>
      <w:r>
        <w:rPr>
          <w:rFonts w:asciiTheme="majorHAnsi" w:hAnsiTheme="majorHAnsi"/>
        </w:rPr>
        <w:t xml:space="preserve">PTG défectueuses (descellements, prothèses douloureuses etc.), </w:t>
      </w:r>
    </w:p>
    <w:p w14:paraId="6C0A0766" w14:textId="77777777" w:rsidR="00CE63EE" w:rsidRDefault="00CE63EE" w:rsidP="00CE63EE">
      <w:pPr>
        <w:rPr>
          <w:rFonts w:asciiTheme="majorHAnsi" w:hAnsiTheme="majorHAnsi"/>
        </w:rPr>
      </w:pPr>
    </w:p>
    <w:p w14:paraId="57CAC366" w14:textId="77777777" w:rsidR="00CE63EE" w:rsidRDefault="00CE63EE" w:rsidP="00CE63EE">
      <w:pPr>
        <w:rPr>
          <w:rFonts w:asciiTheme="majorHAnsi" w:hAnsiTheme="majorHAnsi"/>
        </w:rPr>
      </w:pPr>
      <w:r>
        <w:rPr>
          <w:rFonts w:asciiTheme="majorHAnsi" w:hAnsiTheme="majorHAnsi"/>
        </w:rPr>
        <w:t>et le coût médical et médico-économique en résultant.</w:t>
      </w:r>
    </w:p>
    <w:p w14:paraId="694E8CB1" w14:textId="77777777" w:rsidR="003C695C" w:rsidRDefault="003C695C" w:rsidP="00CE63EE">
      <w:pPr>
        <w:rPr>
          <w:rFonts w:asciiTheme="majorHAnsi" w:hAnsiTheme="majorHAnsi"/>
        </w:rPr>
      </w:pPr>
    </w:p>
    <w:p w14:paraId="057845A9" w14:textId="077A41B6" w:rsidR="003C695C" w:rsidRDefault="003C695C" w:rsidP="00CE63EE">
      <w:pPr>
        <w:rPr>
          <w:rFonts w:asciiTheme="majorHAnsi" w:hAnsiTheme="majorHAnsi"/>
        </w:rPr>
      </w:pPr>
      <w:r>
        <w:rPr>
          <w:rFonts w:asciiTheme="majorHAnsi" w:hAnsiTheme="majorHAnsi"/>
        </w:rPr>
        <w:t>Par ailleurs, l’une des questions à considérer également est celle de la reprise chirurgicale de PTG. Si l’on opère comme aux USA, plus vite et plus tôt, il est évident que les taux de reprise vont augmenter, mais se heurter très rapidement à une barrière technique : il est possible au genou de faire une reprise de prothèse. Est-il possible d’en faire 2, voire 3 comme dans le cas de la chirurgie prothétique de la hanche sans danger majeur et sans augmentation de la iatrogénie inhérente à cette chirurgie ? C’est nettement moins sûr.</w:t>
      </w:r>
    </w:p>
    <w:p w14:paraId="18B6F6E6" w14:textId="77777777" w:rsidR="00CE63EE" w:rsidRDefault="00CE63EE">
      <w:pPr>
        <w:rPr>
          <w:rFonts w:asciiTheme="majorHAnsi" w:hAnsiTheme="majorHAnsi"/>
        </w:rPr>
      </w:pPr>
    </w:p>
    <w:p w14:paraId="3E2A9D09" w14:textId="77777777" w:rsidR="00CE63EE" w:rsidRPr="0086335B" w:rsidRDefault="00CE63EE">
      <w:pPr>
        <w:rPr>
          <w:rFonts w:asciiTheme="majorHAnsi" w:hAnsiTheme="majorHAnsi"/>
          <w:b/>
          <w:i/>
        </w:rPr>
      </w:pPr>
      <w:r w:rsidRPr="0086335B">
        <w:rPr>
          <w:rFonts w:asciiTheme="majorHAnsi" w:hAnsiTheme="majorHAnsi"/>
          <w:b/>
          <w:i/>
        </w:rPr>
        <w:t>Données médico-économiques concernant acides hyaluroniques et PTG.</w:t>
      </w:r>
    </w:p>
    <w:p w14:paraId="03D7470D" w14:textId="46CC2439" w:rsidR="00CE63EE" w:rsidRDefault="00CE63EE">
      <w:pPr>
        <w:rPr>
          <w:rFonts w:asciiTheme="majorHAnsi" w:hAnsiTheme="majorHAnsi"/>
        </w:rPr>
      </w:pPr>
      <w:r>
        <w:rPr>
          <w:rFonts w:asciiTheme="majorHAnsi" w:hAnsiTheme="majorHAnsi"/>
        </w:rPr>
        <w:t>Il existe en effet des données, dont une étude coût-utilité espagnole récente permettant de chiffre</w:t>
      </w:r>
      <w:r w:rsidR="003E24A5">
        <w:rPr>
          <w:rFonts w:asciiTheme="majorHAnsi" w:hAnsiTheme="majorHAnsi"/>
        </w:rPr>
        <w:t>r le gain en PTG attribuable au traitement</w:t>
      </w:r>
      <w:r>
        <w:rPr>
          <w:rFonts w:asciiTheme="majorHAnsi" w:hAnsiTheme="majorHAnsi"/>
        </w:rPr>
        <w:t xml:space="preserve"> des patients gonarthrosiques par injections IA d’acide hyaluronique.</w:t>
      </w:r>
    </w:p>
    <w:p w14:paraId="74CD7CF6" w14:textId="63BB1CF5" w:rsidR="00CE63EE" w:rsidRDefault="00CE63EE">
      <w:pPr>
        <w:rPr>
          <w:rFonts w:asciiTheme="majorHAnsi" w:hAnsiTheme="majorHAnsi"/>
        </w:rPr>
      </w:pPr>
      <w:r>
        <w:rPr>
          <w:rFonts w:asciiTheme="majorHAnsi" w:hAnsiTheme="majorHAnsi"/>
        </w:rPr>
        <w:t>Dans un modèle mathématique qui a inclus l’étude du parcours des traitements en particulier par injections d’AH, un total de 224 candida</w:t>
      </w:r>
      <w:r w:rsidR="001609CE">
        <w:rPr>
          <w:rFonts w:asciiTheme="majorHAnsi" w:hAnsiTheme="majorHAnsi"/>
        </w:rPr>
        <w:t>ts à la PTG ont été analysés (41</w:t>
      </w:r>
      <w:r>
        <w:rPr>
          <w:rFonts w:asciiTheme="majorHAnsi" w:hAnsiTheme="majorHAnsi"/>
        </w:rPr>
        <w:t>). Traiter par acide hyaluronique intra-articulaire a permis de différer la PTG de 2,7 ans.</w:t>
      </w:r>
    </w:p>
    <w:p w14:paraId="0A3FCEE6" w14:textId="77777777" w:rsidR="00CE63EE" w:rsidRDefault="00CE63EE">
      <w:pPr>
        <w:rPr>
          <w:rFonts w:asciiTheme="majorHAnsi" w:hAnsiTheme="majorHAnsi"/>
        </w:rPr>
      </w:pPr>
      <w:r>
        <w:rPr>
          <w:rFonts w:asciiTheme="majorHAnsi" w:hAnsiTheme="majorHAnsi"/>
        </w:rPr>
        <w:t>Cette économie est surtout importante dans les premières années d’évolution de la gonarthrose. Pour les Espagnols, l’estimation des économies réalisées se chiffre à 36 millions d’euros les 3 premières années.</w:t>
      </w:r>
    </w:p>
    <w:p w14:paraId="78378894" w14:textId="77777777" w:rsidR="003C695C" w:rsidRDefault="003C695C">
      <w:pPr>
        <w:rPr>
          <w:rFonts w:asciiTheme="majorHAnsi" w:hAnsiTheme="majorHAnsi"/>
        </w:rPr>
      </w:pPr>
    </w:p>
    <w:p w14:paraId="4CF105D3" w14:textId="4EA28493" w:rsidR="00CE63EE" w:rsidRDefault="00CE63EE">
      <w:pPr>
        <w:rPr>
          <w:rFonts w:asciiTheme="majorHAnsi" w:hAnsiTheme="majorHAnsi"/>
        </w:rPr>
      </w:pPr>
      <w:r>
        <w:rPr>
          <w:rFonts w:asciiTheme="majorHAnsi" w:hAnsiTheme="majorHAnsi"/>
        </w:rPr>
        <w:t xml:space="preserve">Appliquée aux chiffres de PTG/100 000 habitants vus plus haut en France (4), 2,7 ans d’épargne par retard à l’indication pourrait représenter près de 190 000 PTG. A un coût estimé dans un travail récent à 11 644 € </w:t>
      </w:r>
      <w:r w:rsidR="001609CE">
        <w:rPr>
          <w:rFonts w:asciiTheme="majorHAnsi" w:hAnsiTheme="majorHAnsi"/>
        </w:rPr>
        <w:t>par prothèse totale de genou (42</w:t>
      </w:r>
      <w:r>
        <w:rPr>
          <w:rFonts w:asciiTheme="majorHAnsi" w:hAnsiTheme="majorHAnsi"/>
        </w:rPr>
        <w:t>), on mesure les économies considérables que peut induire la prise en charge médicale de la gonarthrose incluant les injections d’AH.</w:t>
      </w:r>
    </w:p>
    <w:p w14:paraId="057F8F14" w14:textId="77777777" w:rsidR="003C695C" w:rsidRDefault="003C695C">
      <w:pPr>
        <w:rPr>
          <w:rFonts w:asciiTheme="majorHAnsi" w:hAnsiTheme="majorHAnsi"/>
        </w:rPr>
      </w:pPr>
    </w:p>
    <w:p w14:paraId="09A0A8BE" w14:textId="318F4B92" w:rsidR="003C695C" w:rsidRDefault="003C695C">
      <w:pPr>
        <w:rPr>
          <w:rFonts w:asciiTheme="majorHAnsi" w:hAnsiTheme="majorHAnsi"/>
        </w:rPr>
      </w:pPr>
      <w:r>
        <w:rPr>
          <w:rFonts w:asciiTheme="majorHAnsi" w:hAnsiTheme="majorHAnsi"/>
        </w:rPr>
        <w:t xml:space="preserve">Nombre des patients actuellement traités en France par injections d’acide hyaluronique intra-articulaire ne consultent leur rhumatologue ou leur médecin généraliste qu’une fois ensuite dans l’année et n’utilisent que peu d’antalgiques ou d’AINS pendant cette année. </w:t>
      </w:r>
    </w:p>
    <w:p w14:paraId="5579594D" w14:textId="77777777" w:rsidR="00CE63EE" w:rsidRDefault="00CE63EE">
      <w:pPr>
        <w:rPr>
          <w:rFonts w:asciiTheme="majorHAnsi" w:hAnsiTheme="majorHAnsi"/>
        </w:rPr>
      </w:pPr>
    </w:p>
    <w:p w14:paraId="2B63BD29" w14:textId="77777777" w:rsidR="00CE63EE" w:rsidRPr="0086335B" w:rsidRDefault="00CE63EE">
      <w:pPr>
        <w:rPr>
          <w:rFonts w:asciiTheme="majorHAnsi" w:hAnsiTheme="majorHAnsi"/>
          <w:b/>
          <w:i/>
        </w:rPr>
      </w:pPr>
      <w:r w:rsidRPr="0086335B">
        <w:rPr>
          <w:rFonts w:asciiTheme="majorHAnsi" w:hAnsiTheme="majorHAnsi"/>
          <w:b/>
          <w:i/>
        </w:rPr>
        <w:t>Données sur la iatrogénicité des PTG.</w:t>
      </w:r>
    </w:p>
    <w:p w14:paraId="6152F71B" w14:textId="67D4DAC4" w:rsidR="003C695C" w:rsidRDefault="003C695C">
      <w:pPr>
        <w:rPr>
          <w:rFonts w:asciiTheme="majorHAnsi" w:hAnsiTheme="majorHAnsi"/>
        </w:rPr>
      </w:pPr>
      <w:r>
        <w:rPr>
          <w:rFonts w:asciiTheme="majorHAnsi" w:hAnsiTheme="majorHAnsi"/>
        </w:rPr>
        <w:t>La iatrogénicité de la chirurgie prothétique dans l’arthrose est bien évaluée et connue.</w:t>
      </w:r>
    </w:p>
    <w:p w14:paraId="4C7DD207" w14:textId="77777777" w:rsidR="00E146A1" w:rsidRDefault="00E146A1">
      <w:pPr>
        <w:rPr>
          <w:rFonts w:asciiTheme="majorHAnsi" w:hAnsiTheme="majorHAnsi"/>
        </w:rPr>
      </w:pPr>
    </w:p>
    <w:p w14:paraId="2C5C8DBC" w14:textId="20762D65" w:rsidR="00CE63EE" w:rsidRDefault="003C695C">
      <w:pPr>
        <w:rPr>
          <w:rFonts w:asciiTheme="majorHAnsi" w:hAnsiTheme="majorHAnsi"/>
        </w:rPr>
      </w:pPr>
      <w:r>
        <w:rPr>
          <w:rFonts w:asciiTheme="majorHAnsi" w:hAnsiTheme="majorHAnsi"/>
        </w:rPr>
        <w:t xml:space="preserve">La mortalité reste non négligeable. </w:t>
      </w:r>
      <w:r w:rsidR="00B544F9">
        <w:rPr>
          <w:rFonts w:asciiTheme="majorHAnsi" w:hAnsiTheme="majorHAnsi"/>
        </w:rPr>
        <w:t>Dans un registre National des Hospitalisations, sur 4 438 213 prothèse</w:t>
      </w:r>
      <w:r w:rsidR="00E146A1">
        <w:rPr>
          <w:rFonts w:asciiTheme="majorHAnsi" w:hAnsiTheme="majorHAnsi"/>
        </w:rPr>
        <w:t>s</w:t>
      </w:r>
      <w:r w:rsidR="00B544F9">
        <w:rPr>
          <w:rFonts w:asciiTheme="majorHAnsi" w:hAnsiTheme="majorHAnsi"/>
        </w:rPr>
        <w:t xml:space="preserve"> totale</w:t>
      </w:r>
      <w:r w:rsidR="00E146A1">
        <w:rPr>
          <w:rFonts w:asciiTheme="majorHAnsi" w:hAnsiTheme="majorHAnsi"/>
        </w:rPr>
        <w:t>s</w:t>
      </w:r>
      <w:r w:rsidR="00B544F9">
        <w:rPr>
          <w:rFonts w:asciiTheme="majorHAnsi" w:hAnsiTheme="majorHAnsi"/>
        </w:rPr>
        <w:t xml:space="preserve"> de genou comptabilisées entre 1998 et 2008, la mortalité péri-opératoire</w:t>
      </w:r>
      <w:r>
        <w:rPr>
          <w:rFonts w:asciiTheme="majorHAnsi" w:hAnsiTheme="majorHAnsi"/>
        </w:rPr>
        <w:t xml:space="preserve"> a été évaluée à </w:t>
      </w:r>
      <w:r w:rsidR="00B544F9">
        <w:rPr>
          <w:rFonts w:asciiTheme="majorHAnsi" w:hAnsiTheme="majorHAnsi"/>
        </w:rPr>
        <w:t xml:space="preserve">0.13%. Les facteurs de risque analysés étant l’âge, le sexe masculin, le fait d’appartenir à une minorité ethnique. La mort survient plus tôt après PTG qu’après prothèse totale de hanche </w:t>
      </w:r>
      <w:r w:rsidR="001609CE">
        <w:rPr>
          <w:rFonts w:asciiTheme="majorHAnsi" w:hAnsiTheme="majorHAnsi"/>
        </w:rPr>
        <w:t>(43</w:t>
      </w:r>
      <w:r w:rsidR="00CE63EE">
        <w:rPr>
          <w:rFonts w:asciiTheme="majorHAnsi" w:hAnsiTheme="majorHAnsi"/>
        </w:rPr>
        <w:t>).</w:t>
      </w:r>
    </w:p>
    <w:p w14:paraId="70B84C89" w14:textId="77777777" w:rsidR="00E146A1" w:rsidRDefault="00E146A1">
      <w:pPr>
        <w:rPr>
          <w:rFonts w:asciiTheme="majorHAnsi" w:hAnsiTheme="majorHAnsi"/>
        </w:rPr>
      </w:pPr>
    </w:p>
    <w:p w14:paraId="75B635D8" w14:textId="66E91DDD" w:rsidR="00CE63EE" w:rsidRDefault="004B0CA3">
      <w:pPr>
        <w:rPr>
          <w:rFonts w:asciiTheme="majorHAnsi" w:hAnsiTheme="majorHAnsi"/>
        </w:rPr>
      </w:pPr>
      <w:r>
        <w:rPr>
          <w:rFonts w:asciiTheme="majorHAnsi" w:hAnsiTheme="majorHAnsi"/>
        </w:rPr>
        <w:lastRenderedPageBreak/>
        <w:t>L’une des préoccupations majeures est la survenue d’une infection post-opératoire ou à distance sur la prothèse. Une revue récente des cas sur 10 ans par un gros centre hospitalier aux USA donne un taux annuel d’infection au site de la prothèse de 03% à 1.6%. Le taux est quasiment deux fois plus élevé en cas de reprise de prothèse : 0.6 à 2% contre 0.2 à 1.3% pour une chirurgie primaire</w:t>
      </w:r>
      <w:r w:rsidR="00CE63EE">
        <w:rPr>
          <w:rFonts w:asciiTheme="majorHAnsi" w:hAnsiTheme="majorHAnsi"/>
        </w:rPr>
        <w:t xml:space="preserve"> (</w:t>
      </w:r>
      <w:r w:rsidR="001609CE">
        <w:rPr>
          <w:rFonts w:asciiTheme="majorHAnsi" w:hAnsiTheme="majorHAnsi"/>
        </w:rPr>
        <w:t>44</w:t>
      </w:r>
      <w:r w:rsidR="00CE63EE">
        <w:rPr>
          <w:rFonts w:asciiTheme="majorHAnsi" w:hAnsiTheme="majorHAnsi"/>
        </w:rPr>
        <w:t>).</w:t>
      </w:r>
    </w:p>
    <w:p w14:paraId="182B82C6" w14:textId="24338DCD" w:rsidR="00C507A3" w:rsidRDefault="00C507A3">
      <w:pPr>
        <w:rPr>
          <w:rFonts w:asciiTheme="majorHAnsi" w:hAnsiTheme="majorHAnsi"/>
        </w:rPr>
      </w:pPr>
      <w:r>
        <w:rPr>
          <w:rFonts w:asciiTheme="majorHAnsi" w:hAnsiTheme="majorHAnsi"/>
        </w:rPr>
        <w:t xml:space="preserve">Un tel taux appliqué à la prévalence des PTG en France et à l’augmentation de celle-ci en cas d’une limitation de la prise en charge médicale </w:t>
      </w:r>
      <w:r w:rsidR="0061091D">
        <w:rPr>
          <w:rFonts w:asciiTheme="majorHAnsi" w:hAnsiTheme="majorHAnsi"/>
        </w:rPr>
        <w:t xml:space="preserve">de l’arthrose </w:t>
      </w:r>
      <w:r>
        <w:rPr>
          <w:rFonts w:asciiTheme="majorHAnsi" w:hAnsiTheme="majorHAnsi"/>
        </w:rPr>
        <w:t>donne 1 infection / 100 000 habitants (soit 600 sepsis /an au taux actuel de PTG) en chirurgie primaire et 2/100 000 en reprise de prothèse.</w:t>
      </w:r>
    </w:p>
    <w:p w14:paraId="695D2398" w14:textId="77777777" w:rsidR="00E146A1" w:rsidRDefault="00E146A1">
      <w:pPr>
        <w:rPr>
          <w:rFonts w:asciiTheme="majorHAnsi" w:hAnsiTheme="majorHAnsi"/>
        </w:rPr>
      </w:pPr>
    </w:p>
    <w:p w14:paraId="6A3C836C" w14:textId="5153A723" w:rsidR="00CE63EE" w:rsidRDefault="00C507A3">
      <w:pPr>
        <w:rPr>
          <w:rFonts w:asciiTheme="majorHAnsi" w:hAnsiTheme="majorHAnsi"/>
        </w:rPr>
      </w:pPr>
      <w:r>
        <w:rPr>
          <w:rFonts w:asciiTheme="majorHAnsi" w:hAnsiTheme="majorHAnsi"/>
        </w:rPr>
        <w:t>Une autre préoccupation majeure est la su</w:t>
      </w:r>
      <w:r w:rsidR="00E146A1">
        <w:rPr>
          <w:rFonts w:asciiTheme="majorHAnsi" w:hAnsiTheme="majorHAnsi"/>
        </w:rPr>
        <w:t>rvenue de complications thrombo</w:t>
      </w:r>
      <w:r>
        <w:rPr>
          <w:rFonts w:asciiTheme="majorHAnsi" w:hAnsiTheme="majorHAnsi"/>
        </w:rPr>
        <w:t>emboliques post-opératoires</w:t>
      </w:r>
      <w:r w:rsidR="00912C1B">
        <w:rPr>
          <w:rFonts w:asciiTheme="majorHAnsi" w:hAnsiTheme="majorHAnsi"/>
        </w:rPr>
        <w:t xml:space="preserve">, nécessitant une coûteuse stratégie de prévention, malheureusement non totalement efficace </w:t>
      </w:r>
      <w:r w:rsidR="00CE63EE">
        <w:rPr>
          <w:rFonts w:asciiTheme="majorHAnsi" w:hAnsiTheme="majorHAnsi"/>
        </w:rPr>
        <w:t>(</w:t>
      </w:r>
      <w:r w:rsidR="001609CE">
        <w:rPr>
          <w:rFonts w:asciiTheme="majorHAnsi" w:hAnsiTheme="majorHAnsi"/>
        </w:rPr>
        <w:t>45</w:t>
      </w:r>
      <w:r w:rsidR="00915EAC">
        <w:rPr>
          <w:rFonts w:asciiTheme="majorHAnsi" w:hAnsiTheme="majorHAnsi"/>
        </w:rPr>
        <w:t>). Le risque d’</w:t>
      </w:r>
      <w:r w:rsidR="00E146A1">
        <w:rPr>
          <w:rFonts w:asciiTheme="majorHAnsi" w:hAnsiTheme="majorHAnsi"/>
        </w:rPr>
        <w:t>évènement thrombo</w:t>
      </w:r>
      <w:r w:rsidR="00915EAC">
        <w:rPr>
          <w:rFonts w:asciiTheme="majorHAnsi" w:hAnsiTheme="majorHAnsi"/>
        </w:rPr>
        <w:t>embolique clinique est estimé à 5 à 15% selon les équipes et les séries après PTG.</w:t>
      </w:r>
    </w:p>
    <w:p w14:paraId="62314C1E" w14:textId="77777777" w:rsidR="007C24EA" w:rsidRDefault="007C24EA">
      <w:pPr>
        <w:rPr>
          <w:rFonts w:asciiTheme="majorHAnsi" w:hAnsiTheme="majorHAnsi"/>
        </w:rPr>
      </w:pPr>
    </w:p>
    <w:p w14:paraId="2E8AAC10" w14:textId="07E26AD5" w:rsidR="00CE63EE" w:rsidRDefault="007C24EA">
      <w:pPr>
        <w:rPr>
          <w:rFonts w:asciiTheme="majorHAnsi" w:hAnsiTheme="majorHAnsi"/>
        </w:rPr>
      </w:pPr>
      <w:r>
        <w:rPr>
          <w:rFonts w:asciiTheme="majorHAnsi" w:hAnsiTheme="majorHAnsi"/>
        </w:rPr>
        <w:t>Sur un plan médico-économique, aux coûts de la chirurgie elle-même, de l’anesthésie et de l’hospitalisation en cas de prothèse totale de genou, auxquels s’ajoutent les coûts induits par la iatrogénicité et ceux de la prévention de certains des accidents potentiels, il convient également de considérer les coûts des Soins de Suite et de Rééducation post-opératoires, la pose d’une PTG nécessitant le plus souvent plusieurs semaines de rééducation spécialisée post-procédure.</w:t>
      </w:r>
    </w:p>
    <w:p w14:paraId="14291D7C" w14:textId="77777777" w:rsidR="007C24EA" w:rsidRDefault="007C24EA">
      <w:pPr>
        <w:rPr>
          <w:rFonts w:asciiTheme="majorHAnsi" w:hAnsiTheme="majorHAnsi"/>
        </w:rPr>
      </w:pPr>
    </w:p>
    <w:p w14:paraId="085CE90E" w14:textId="77777777" w:rsidR="007C24EA" w:rsidRDefault="007C24EA">
      <w:pPr>
        <w:rPr>
          <w:rFonts w:asciiTheme="majorHAnsi" w:hAnsiTheme="majorHAnsi"/>
        </w:rPr>
      </w:pPr>
    </w:p>
    <w:p w14:paraId="6F656ABE" w14:textId="08BA62F7" w:rsidR="007C24EA" w:rsidRPr="00E146A1" w:rsidRDefault="007C24EA">
      <w:pPr>
        <w:rPr>
          <w:rFonts w:asciiTheme="majorHAnsi" w:hAnsiTheme="majorHAnsi"/>
          <w:b/>
        </w:rPr>
      </w:pPr>
      <w:r w:rsidRPr="00E146A1">
        <w:rPr>
          <w:rFonts w:asciiTheme="majorHAnsi" w:hAnsiTheme="majorHAnsi"/>
          <w:b/>
        </w:rPr>
        <w:t>6. Discussion</w:t>
      </w:r>
    </w:p>
    <w:p w14:paraId="20BCDEC1" w14:textId="77777777" w:rsidR="007C24EA" w:rsidRDefault="007C24EA">
      <w:pPr>
        <w:rPr>
          <w:rFonts w:asciiTheme="majorHAnsi" w:hAnsiTheme="majorHAnsi"/>
        </w:rPr>
      </w:pPr>
    </w:p>
    <w:p w14:paraId="717350D4" w14:textId="6D1E8F4C" w:rsidR="007C24EA" w:rsidRDefault="007C24EA">
      <w:pPr>
        <w:rPr>
          <w:rFonts w:asciiTheme="majorHAnsi" w:hAnsiTheme="majorHAnsi"/>
        </w:rPr>
      </w:pPr>
      <w:r>
        <w:rPr>
          <w:rFonts w:asciiTheme="majorHAnsi" w:hAnsiTheme="majorHAnsi"/>
        </w:rPr>
        <w:t xml:space="preserve">Si l’efficacité des AH intra-articulaires peut être </w:t>
      </w:r>
      <w:r w:rsidR="00E146A1">
        <w:rPr>
          <w:rFonts w:asciiTheme="majorHAnsi" w:hAnsiTheme="majorHAnsi"/>
        </w:rPr>
        <w:t>discuté</w:t>
      </w:r>
      <w:r>
        <w:rPr>
          <w:rFonts w:asciiTheme="majorHAnsi" w:hAnsiTheme="majorHAnsi"/>
        </w:rPr>
        <w:t>e, l’effet-taille observé sur la douleur étant modeste, bien que non négligeable (0.30 à 0.37, voire 0.50 selon les méta-analyses), il n’est cependant pas possible de rejeter totalement ce traitement</w:t>
      </w:r>
      <w:r w:rsidR="00E146A1">
        <w:rPr>
          <w:rFonts w:asciiTheme="majorHAnsi" w:hAnsiTheme="majorHAnsi"/>
        </w:rPr>
        <w:t xml:space="preserve"> qui semble bénéficier à une partie des patients traités, en attestent les taux importants de patients répondeurs dans les études, autre moyen cliniquement pertinent de juger une thérapeutique</w:t>
      </w:r>
      <w:r>
        <w:rPr>
          <w:rFonts w:asciiTheme="majorHAnsi" w:hAnsiTheme="majorHAnsi"/>
        </w:rPr>
        <w:t>.</w:t>
      </w:r>
    </w:p>
    <w:p w14:paraId="65299EDE" w14:textId="7A78791E" w:rsidR="00DE6971" w:rsidRDefault="00DE6971">
      <w:pPr>
        <w:rPr>
          <w:rFonts w:asciiTheme="majorHAnsi" w:hAnsiTheme="majorHAnsi"/>
        </w:rPr>
      </w:pPr>
      <w:r>
        <w:rPr>
          <w:rFonts w:asciiTheme="majorHAnsi" w:hAnsiTheme="majorHAnsi"/>
        </w:rPr>
        <w:t>Il s’agit d’un traitement d’administration simple, par des professionnels qualifiés, et aux effets indésirables très limités, principalement locaux et spontanément résolutifs.</w:t>
      </w:r>
    </w:p>
    <w:p w14:paraId="0DFB3DA4" w14:textId="77777777" w:rsidR="00DE6971" w:rsidRDefault="00DE6971">
      <w:pPr>
        <w:rPr>
          <w:rFonts w:asciiTheme="majorHAnsi" w:hAnsiTheme="majorHAnsi"/>
        </w:rPr>
      </w:pPr>
    </w:p>
    <w:p w14:paraId="4529DE80" w14:textId="72499C6E" w:rsidR="007C24EA" w:rsidRDefault="007C24EA">
      <w:pPr>
        <w:rPr>
          <w:rFonts w:asciiTheme="majorHAnsi" w:hAnsiTheme="majorHAnsi"/>
        </w:rPr>
      </w:pPr>
      <w:r>
        <w:rPr>
          <w:rFonts w:asciiTheme="majorHAnsi" w:hAnsiTheme="majorHAnsi"/>
        </w:rPr>
        <w:t>Peu de travaux ont été vraiment réalisés sur les patients susceptibles de répondre le mieux à ce traitement.</w:t>
      </w:r>
    </w:p>
    <w:p w14:paraId="16F87621" w14:textId="77777777" w:rsidR="007C24EA" w:rsidRDefault="007C24EA">
      <w:pPr>
        <w:rPr>
          <w:rFonts w:asciiTheme="majorHAnsi" w:hAnsiTheme="majorHAnsi"/>
        </w:rPr>
      </w:pPr>
    </w:p>
    <w:p w14:paraId="439CC9D0" w14:textId="67A61ED6" w:rsidR="00E146A1" w:rsidRDefault="007C24EA">
      <w:pPr>
        <w:rPr>
          <w:rFonts w:asciiTheme="majorHAnsi" w:hAnsiTheme="majorHAnsi"/>
        </w:rPr>
      </w:pPr>
      <w:r>
        <w:rPr>
          <w:rFonts w:asciiTheme="majorHAnsi" w:hAnsiTheme="majorHAnsi"/>
        </w:rPr>
        <w:t>Un déremboursement global aurait pour conséquence d’augmenter le recours à des traitements nettement plus iatrogéni</w:t>
      </w:r>
      <w:r w:rsidR="00E146A1">
        <w:rPr>
          <w:rFonts w:asciiTheme="majorHAnsi" w:hAnsiTheme="majorHAnsi"/>
        </w:rPr>
        <w:t>ques comme les o</w:t>
      </w:r>
      <w:r>
        <w:rPr>
          <w:rFonts w:asciiTheme="majorHAnsi" w:hAnsiTheme="majorHAnsi"/>
        </w:rPr>
        <w:t xml:space="preserve">pioïdes ou les AINS, de </w:t>
      </w:r>
      <w:r w:rsidR="0061091D">
        <w:rPr>
          <w:rFonts w:asciiTheme="majorHAnsi" w:hAnsiTheme="majorHAnsi"/>
        </w:rPr>
        <w:t xml:space="preserve">conduire </w:t>
      </w:r>
      <w:r w:rsidR="00E146A1">
        <w:rPr>
          <w:rFonts w:asciiTheme="majorHAnsi" w:hAnsiTheme="majorHAnsi"/>
        </w:rPr>
        <w:t>égale</w:t>
      </w:r>
      <w:r w:rsidR="0061091D">
        <w:rPr>
          <w:rFonts w:asciiTheme="majorHAnsi" w:hAnsiTheme="majorHAnsi"/>
        </w:rPr>
        <w:t>ment</w:t>
      </w:r>
      <w:r w:rsidR="00E146A1">
        <w:rPr>
          <w:rFonts w:asciiTheme="majorHAnsi" w:hAnsiTheme="majorHAnsi"/>
        </w:rPr>
        <w:t xml:space="preserve"> à une augmentation</w:t>
      </w:r>
      <w:r>
        <w:rPr>
          <w:rFonts w:asciiTheme="majorHAnsi" w:hAnsiTheme="majorHAnsi"/>
        </w:rPr>
        <w:t xml:space="preserve"> du nombre de prothèses posées. </w:t>
      </w:r>
    </w:p>
    <w:p w14:paraId="03B7D7FB" w14:textId="7A5B3B7B" w:rsidR="00E146A1" w:rsidRDefault="007C24EA">
      <w:pPr>
        <w:rPr>
          <w:rFonts w:asciiTheme="majorHAnsi" w:hAnsiTheme="majorHAnsi"/>
        </w:rPr>
      </w:pPr>
      <w:r>
        <w:rPr>
          <w:rFonts w:asciiTheme="majorHAnsi" w:hAnsiTheme="majorHAnsi"/>
        </w:rPr>
        <w:t xml:space="preserve">Il aurait aussi pour </w:t>
      </w:r>
      <w:r w:rsidR="0032764B">
        <w:rPr>
          <w:rFonts w:asciiTheme="majorHAnsi" w:hAnsiTheme="majorHAnsi"/>
        </w:rPr>
        <w:t>effet</w:t>
      </w:r>
      <w:r>
        <w:rPr>
          <w:rFonts w:asciiTheme="majorHAnsi" w:hAnsiTheme="majorHAnsi"/>
        </w:rPr>
        <w:t xml:space="preserve"> d’interdire toute étude sérieuse de ces produits et des meilleures indications potentielles.</w:t>
      </w:r>
    </w:p>
    <w:p w14:paraId="031ADBAA" w14:textId="77777777" w:rsidR="00E146A1" w:rsidRDefault="00E146A1">
      <w:pPr>
        <w:rPr>
          <w:rFonts w:asciiTheme="majorHAnsi" w:hAnsiTheme="majorHAnsi"/>
        </w:rPr>
      </w:pPr>
    </w:p>
    <w:p w14:paraId="54D89419" w14:textId="1905CCF4" w:rsidR="007C24EA" w:rsidRDefault="00E146A1">
      <w:pPr>
        <w:rPr>
          <w:rFonts w:asciiTheme="majorHAnsi" w:hAnsiTheme="majorHAnsi"/>
        </w:rPr>
      </w:pPr>
      <w:r>
        <w:rPr>
          <w:rFonts w:asciiTheme="majorHAnsi" w:hAnsiTheme="majorHAnsi"/>
        </w:rPr>
        <w:t>Il aurait également pour conséquence d’accroître la défiance des patients en matière de prise en charge de leur gonarthrose et sur la possibilité d’améliorer leur statut et leur qualité de vie, conduisant une partie de cette population à multiplier les consultations et démarches médicales inutiles et coûteuses</w:t>
      </w:r>
      <w:r w:rsidR="0032764B">
        <w:rPr>
          <w:rFonts w:asciiTheme="majorHAnsi" w:hAnsiTheme="majorHAnsi"/>
        </w:rPr>
        <w:t xml:space="preserve"> (multiplication des imageries, notamment IRM)</w:t>
      </w:r>
      <w:r>
        <w:rPr>
          <w:rFonts w:asciiTheme="majorHAnsi" w:hAnsiTheme="majorHAnsi"/>
        </w:rPr>
        <w:t xml:space="preserve">, voire </w:t>
      </w:r>
      <w:r>
        <w:rPr>
          <w:rFonts w:asciiTheme="majorHAnsi" w:hAnsiTheme="majorHAnsi"/>
        </w:rPr>
        <w:lastRenderedPageBreak/>
        <w:t>dangereuses, ou bien à se tourner vers des pratiques  irrationnelles elles aussi parfois dangereuses.</w:t>
      </w:r>
    </w:p>
    <w:p w14:paraId="75DB1821" w14:textId="77777777" w:rsidR="00E146A1" w:rsidRDefault="00E146A1">
      <w:pPr>
        <w:rPr>
          <w:rFonts w:asciiTheme="majorHAnsi" w:hAnsiTheme="majorHAnsi"/>
        </w:rPr>
      </w:pPr>
    </w:p>
    <w:p w14:paraId="73A48519" w14:textId="0992F8E9" w:rsidR="0032764B" w:rsidRDefault="00E146A1" w:rsidP="0032764B">
      <w:pPr>
        <w:spacing w:after="240"/>
        <w:rPr>
          <w:rFonts w:asciiTheme="majorHAnsi" w:eastAsia="Times New Roman" w:hAnsiTheme="majorHAnsi" w:cs="Arial"/>
        </w:rPr>
      </w:pPr>
      <w:r>
        <w:rPr>
          <w:rFonts w:asciiTheme="majorHAnsi" w:hAnsiTheme="majorHAnsi"/>
        </w:rPr>
        <w:t xml:space="preserve">Enfin, </w:t>
      </w:r>
      <w:r w:rsidRPr="00E146A1">
        <w:rPr>
          <w:rFonts w:asciiTheme="majorHAnsi" w:eastAsia="Times New Roman" w:hAnsiTheme="majorHAnsi" w:cs="Arial"/>
        </w:rPr>
        <w:t xml:space="preserve">un déremboursement </w:t>
      </w:r>
      <w:r>
        <w:rPr>
          <w:rFonts w:asciiTheme="majorHAnsi" w:eastAsia="Times New Roman" w:hAnsiTheme="majorHAnsi" w:cs="Arial"/>
        </w:rPr>
        <w:t>des injections des acides hyaluroniques intra-articulaires constituerait</w:t>
      </w:r>
      <w:r w:rsidRPr="00E146A1">
        <w:rPr>
          <w:rFonts w:asciiTheme="majorHAnsi" w:eastAsia="Times New Roman" w:hAnsiTheme="majorHAnsi" w:cs="Arial"/>
        </w:rPr>
        <w:t xml:space="preserve"> un facteur de sélection réservant ce type de traitement aux personnes </w:t>
      </w:r>
      <w:r>
        <w:rPr>
          <w:rFonts w:asciiTheme="majorHAnsi" w:eastAsia="Times New Roman" w:hAnsiTheme="majorHAnsi" w:cs="Arial"/>
        </w:rPr>
        <w:t>ayant les moyens de se le payer, qui ne</w:t>
      </w:r>
      <w:r w:rsidRPr="00094638">
        <w:rPr>
          <w:rFonts w:asciiTheme="majorHAnsi" w:hAnsiTheme="majorHAnsi"/>
          <w:color w:val="FF0000"/>
        </w:rPr>
        <w:t xml:space="preserve"> </w:t>
      </w:r>
      <w:r w:rsidRPr="00E146A1">
        <w:rPr>
          <w:rFonts w:asciiTheme="majorHAnsi" w:hAnsiTheme="majorHAnsi"/>
        </w:rPr>
        <w:t xml:space="preserve">sera donc plus accessible qu'à une partie aisée de la population aggravant l'injustice sociale face à une maladie </w:t>
      </w:r>
      <w:r>
        <w:rPr>
          <w:rFonts w:asciiTheme="majorHAnsi" w:hAnsiTheme="majorHAnsi"/>
        </w:rPr>
        <w:t>l’</w:t>
      </w:r>
      <w:r w:rsidRPr="00E146A1">
        <w:rPr>
          <w:rFonts w:asciiTheme="majorHAnsi" w:hAnsiTheme="majorHAnsi"/>
        </w:rPr>
        <w:t>arthrose qui touche toute la population (</w:t>
      </w:r>
      <w:r>
        <w:rPr>
          <w:rFonts w:asciiTheme="majorHAnsi" w:hAnsiTheme="majorHAnsi"/>
        </w:rPr>
        <w:t>comme il en va déjà actuellement avec les lunettes, l’audition ou les soins dentaires)</w:t>
      </w:r>
      <w:r w:rsidRPr="00E146A1">
        <w:rPr>
          <w:rFonts w:asciiTheme="majorHAnsi" w:hAnsiTheme="majorHAnsi"/>
        </w:rPr>
        <w:t xml:space="preserve"> </w:t>
      </w:r>
      <w:r w:rsidRPr="00E146A1">
        <w:rPr>
          <w:rFonts w:asciiTheme="majorHAnsi" w:eastAsia="Times New Roman" w:hAnsiTheme="majorHAnsi" w:cs="Arial"/>
        </w:rPr>
        <w:t>en contradiction avec les principes d'égalité, d'équité et d'universalité de notre système de Protection Sociale depuis 1946.</w:t>
      </w:r>
    </w:p>
    <w:p w14:paraId="6663BA9D" w14:textId="77777777" w:rsidR="0032764B" w:rsidRPr="0032764B" w:rsidRDefault="0032764B" w:rsidP="0032764B">
      <w:pPr>
        <w:spacing w:after="240"/>
        <w:rPr>
          <w:rFonts w:asciiTheme="majorHAnsi" w:eastAsia="Times New Roman" w:hAnsiTheme="majorHAnsi" w:cs="Arial"/>
          <w:sz w:val="18"/>
          <w:szCs w:val="18"/>
        </w:rPr>
      </w:pPr>
    </w:p>
    <w:p w14:paraId="7209714C" w14:textId="4BED4E2E" w:rsidR="00CE63EE" w:rsidRPr="00251505" w:rsidRDefault="00122463">
      <w:pPr>
        <w:rPr>
          <w:rFonts w:asciiTheme="majorHAnsi" w:hAnsiTheme="majorHAnsi"/>
          <w:b/>
        </w:rPr>
      </w:pPr>
      <w:r>
        <w:rPr>
          <w:rFonts w:asciiTheme="majorHAnsi" w:hAnsiTheme="majorHAnsi"/>
          <w:b/>
        </w:rPr>
        <w:t>7</w:t>
      </w:r>
      <w:r w:rsidR="00CE63EE" w:rsidRPr="00251505">
        <w:rPr>
          <w:rFonts w:asciiTheme="majorHAnsi" w:hAnsiTheme="majorHAnsi"/>
          <w:b/>
        </w:rPr>
        <w:t>. Conclusion</w:t>
      </w:r>
    </w:p>
    <w:p w14:paraId="6F4C5469" w14:textId="77777777" w:rsidR="00CE63EE" w:rsidRDefault="00CE63EE">
      <w:pPr>
        <w:rPr>
          <w:rFonts w:asciiTheme="majorHAnsi" w:hAnsiTheme="majorHAnsi"/>
        </w:rPr>
      </w:pPr>
    </w:p>
    <w:p w14:paraId="6079AE48" w14:textId="3545C5FE" w:rsidR="00DE6971" w:rsidRDefault="00CE63EE">
      <w:pPr>
        <w:rPr>
          <w:rFonts w:asciiTheme="majorHAnsi" w:hAnsiTheme="majorHAnsi"/>
        </w:rPr>
      </w:pPr>
      <w:r>
        <w:rPr>
          <w:rFonts w:asciiTheme="majorHAnsi" w:hAnsiTheme="majorHAnsi"/>
        </w:rPr>
        <w:t>Toutes ces données à la fois scientifiques, médicales et médico-économiques nous semblent amplement justifier</w:t>
      </w:r>
      <w:r w:rsidR="00122463">
        <w:rPr>
          <w:rFonts w:asciiTheme="majorHAnsi" w:hAnsiTheme="majorHAnsi"/>
        </w:rPr>
        <w:t xml:space="preserve"> une appréciation de</w:t>
      </w:r>
      <w:r w:rsidR="0032764B">
        <w:rPr>
          <w:rFonts w:asciiTheme="majorHAnsi" w:hAnsiTheme="majorHAnsi"/>
        </w:rPr>
        <w:t xml:space="preserve"> </w:t>
      </w:r>
      <w:r w:rsidR="0032764B" w:rsidRPr="0022132C">
        <w:rPr>
          <w:rFonts w:asciiTheme="majorHAnsi" w:hAnsiTheme="majorHAnsi"/>
          <w:b/>
        </w:rPr>
        <w:t xml:space="preserve">Service </w:t>
      </w:r>
      <w:r w:rsidR="00DE6971">
        <w:rPr>
          <w:rFonts w:asciiTheme="majorHAnsi" w:hAnsiTheme="majorHAnsi"/>
          <w:b/>
        </w:rPr>
        <w:t>Attend</w:t>
      </w:r>
      <w:r w:rsidR="0032764B" w:rsidRPr="0022132C">
        <w:rPr>
          <w:rFonts w:asciiTheme="majorHAnsi" w:hAnsiTheme="majorHAnsi"/>
          <w:b/>
        </w:rPr>
        <w:t>u</w:t>
      </w:r>
      <w:r w:rsidR="0032764B">
        <w:rPr>
          <w:rFonts w:asciiTheme="majorHAnsi" w:hAnsiTheme="majorHAnsi"/>
        </w:rPr>
        <w:t xml:space="preserve"> </w:t>
      </w:r>
      <w:r w:rsidR="00122463">
        <w:rPr>
          <w:rFonts w:asciiTheme="majorHAnsi" w:hAnsiTheme="majorHAnsi"/>
        </w:rPr>
        <w:t xml:space="preserve">des préparations d’acide hyaluronique à usage intra-articulaire </w:t>
      </w:r>
      <w:r w:rsidR="00DE6971">
        <w:rPr>
          <w:rFonts w:asciiTheme="majorHAnsi" w:hAnsiTheme="majorHAnsi"/>
          <w:b/>
        </w:rPr>
        <w:t>suffisant</w:t>
      </w:r>
      <w:r w:rsidR="0032764B" w:rsidRPr="0022132C">
        <w:rPr>
          <w:rFonts w:asciiTheme="majorHAnsi" w:hAnsiTheme="majorHAnsi"/>
          <w:b/>
        </w:rPr>
        <w:t xml:space="preserve"> </w:t>
      </w:r>
      <w:r w:rsidR="00122463">
        <w:rPr>
          <w:rFonts w:asciiTheme="majorHAnsi" w:hAnsiTheme="majorHAnsi"/>
        </w:rPr>
        <w:t>dans la gonarthrose</w:t>
      </w:r>
      <w:r w:rsidR="00DE6971">
        <w:rPr>
          <w:rFonts w:asciiTheme="majorHAnsi" w:hAnsiTheme="majorHAnsi"/>
        </w:rPr>
        <w:t xml:space="preserve">, au regard des critères habituels de la CNEDIMTS : </w:t>
      </w:r>
    </w:p>
    <w:p w14:paraId="7AEB7072" w14:textId="45773ECF" w:rsidR="00DE6971" w:rsidRDefault="00DE6971" w:rsidP="00DE6971">
      <w:pPr>
        <w:ind w:firstLine="708"/>
        <w:rPr>
          <w:rFonts w:asciiTheme="majorHAnsi" w:hAnsiTheme="majorHAnsi"/>
        </w:rPr>
      </w:pPr>
      <w:r>
        <w:rPr>
          <w:rFonts w:asciiTheme="majorHAnsi" w:hAnsiTheme="majorHAnsi"/>
        </w:rPr>
        <w:t xml:space="preserve">Population cible et besoin médical de prise en charge ; </w:t>
      </w:r>
    </w:p>
    <w:p w14:paraId="0AB17573" w14:textId="55CC35A7" w:rsidR="00DE6971" w:rsidRDefault="00DE6971" w:rsidP="00DE6971">
      <w:pPr>
        <w:ind w:firstLine="708"/>
        <w:rPr>
          <w:rFonts w:asciiTheme="majorHAnsi" w:hAnsiTheme="majorHAnsi"/>
        </w:rPr>
      </w:pPr>
      <w:r>
        <w:rPr>
          <w:rFonts w:asciiTheme="majorHAnsi" w:hAnsiTheme="majorHAnsi"/>
        </w:rPr>
        <w:t>La stratégie thérapeutique de référence ;</w:t>
      </w:r>
    </w:p>
    <w:p w14:paraId="16331F30" w14:textId="2D8868CF" w:rsidR="00DE6971" w:rsidRDefault="00DE6971" w:rsidP="00DE6971">
      <w:pPr>
        <w:autoSpaceDE w:val="0"/>
        <w:autoSpaceDN w:val="0"/>
        <w:adjustRightInd w:val="0"/>
        <w:ind w:left="708"/>
        <w:rPr>
          <w:rFonts w:asciiTheme="majorHAnsi" w:hAnsiTheme="majorHAnsi" w:cs="Arial"/>
          <w:bCs/>
        </w:rPr>
      </w:pPr>
      <w:r>
        <w:rPr>
          <w:rFonts w:asciiTheme="majorHAnsi" w:hAnsiTheme="majorHAnsi" w:cs="Arial"/>
          <w:bCs/>
        </w:rPr>
        <w:t>L’effet clinique</w:t>
      </w:r>
      <w:r w:rsidRPr="00DE6971">
        <w:rPr>
          <w:rFonts w:asciiTheme="majorHAnsi" w:hAnsiTheme="majorHAnsi" w:cs="Arial"/>
          <w:bCs/>
        </w:rPr>
        <w:t xml:space="preserve"> suffisant au regard des </w:t>
      </w:r>
      <w:r>
        <w:rPr>
          <w:rFonts w:asciiTheme="majorHAnsi" w:hAnsiTheme="majorHAnsi" w:cs="Arial"/>
          <w:bCs/>
        </w:rPr>
        <w:t xml:space="preserve">risques liés à l’utilisation du </w:t>
      </w:r>
      <w:r w:rsidRPr="00DE6971">
        <w:rPr>
          <w:rFonts w:asciiTheme="majorHAnsi" w:hAnsiTheme="majorHAnsi" w:cs="Arial"/>
          <w:bCs/>
        </w:rPr>
        <w:t>produit et à ses effets indésirables</w:t>
      </w:r>
      <w:r>
        <w:rPr>
          <w:rFonts w:asciiTheme="majorHAnsi" w:hAnsiTheme="majorHAnsi" w:cs="Arial"/>
          <w:bCs/>
        </w:rPr>
        <w:t> ;</w:t>
      </w:r>
    </w:p>
    <w:p w14:paraId="7ACB6B1B" w14:textId="1CF8A691" w:rsidR="00DE6971" w:rsidRDefault="00DE6971" w:rsidP="00DE6971">
      <w:pPr>
        <w:autoSpaceDE w:val="0"/>
        <w:autoSpaceDN w:val="0"/>
        <w:adjustRightInd w:val="0"/>
        <w:ind w:firstLine="708"/>
        <w:rPr>
          <w:rFonts w:asciiTheme="majorHAnsi" w:hAnsiTheme="majorHAnsi" w:cs="Arial"/>
          <w:bCs/>
        </w:rPr>
      </w:pPr>
      <w:r>
        <w:rPr>
          <w:rFonts w:asciiTheme="majorHAnsi" w:hAnsiTheme="majorHAnsi" w:cs="Arial"/>
          <w:bCs/>
        </w:rPr>
        <w:t>Les preuves d’eff</w:t>
      </w:r>
      <w:r w:rsidR="00D617AF">
        <w:rPr>
          <w:rFonts w:asciiTheme="majorHAnsi" w:hAnsiTheme="majorHAnsi" w:cs="Arial"/>
          <w:bCs/>
        </w:rPr>
        <w:t>icacité pertine</w:t>
      </w:r>
      <w:r>
        <w:rPr>
          <w:rFonts w:asciiTheme="majorHAnsi" w:hAnsiTheme="majorHAnsi" w:cs="Arial"/>
          <w:bCs/>
        </w:rPr>
        <w:t>ntes fournies ;</w:t>
      </w:r>
    </w:p>
    <w:p w14:paraId="4A789472" w14:textId="4879AACD" w:rsidR="00DE6971" w:rsidRDefault="00DE6971" w:rsidP="00DE6971">
      <w:pPr>
        <w:autoSpaceDE w:val="0"/>
        <w:autoSpaceDN w:val="0"/>
        <w:adjustRightInd w:val="0"/>
        <w:ind w:firstLine="708"/>
        <w:rPr>
          <w:rFonts w:asciiTheme="majorHAnsi" w:hAnsiTheme="majorHAnsi" w:cs="Arial"/>
          <w:bCs/>
        </w:rPr>
      </w:pPr>
      <w:r>
        <w:rPr>
          <w:rFonts w:asciiTheme="majorHAnsi" w:hAnsiTheme="majorHAnsi" w:cs="Arial"/>
          <w:bCs/>
        </w:rPr>
        <w:t>La place du traitement dans la stratégie thérapeutique habituelle ;</w:t>
      </w:r>
    </w:p>
    <w:p w14:paraId="7E9A549C" w14:textId="3E27A318" w:rsidR="00DE6971" w:rsidRDefault="00DE6971" w:rsidP="00DE6971">
      <w:pPr>
        <w:autoSpaceDE w:val="0"/>
        <w:autoSpaceDN w:val="0"/>
        <w:adjustRightInd w:val="0"/>
        <w:ind w:firstLine="708"/>
        <w:rPr>
          <w:rFonts w:asciiTheme="majorHAnsi" w:hAnsiTheme="majorHAnsi" w:cs="Arial"/>
          <w:bCs/>
        </w:rPr>
      </w:pPr>
      <w:r>
        <w:rPr>
          <w:rFonts w:asciiTheme="majorHAnsi" w:hAnsiTheme="majorHAnsi" w:cs="Arial"/>
          <w:bCs/>
        </w:rPr>
        <w:t>Et l’intérêt de Santé Publique ;</w:t>
      </w:r>
    </w:p>
    <w:p w14:paraId="11A89794" w14:textId="77777777" w:rsidR="00DE6971" w:rsidRPr="00DE6971" w:rsidRDefault="00DE6971" w:rsidP="00DE6971">
      <w:pPr>
        <w:autoSpaceDE w:val="0"/>
        <w:autoSpaceDN w:val="0"/>
        <w:adjustRightInd w:val="0"/>
        <w:rPr>
          <w:rFonts w:asciiTheme="majorHAnsi" w:hAnsiTheme="majorHAnsi" w:cs="Arial"/>
          <w:bCs/>
        </w:rPr>
      </w:pPr>
    </w:p>
    <w:p w14:paraId="5E4F3E3F" w14:textId="54DC1EEF" w:rsidR="0047314A" w:rsidRDefault="0061091D">
      <w:pPr>
        <w:rPr>
          <w:rFonts w:asciiTheme="majorHAnsi" w:hAnsiTheme="majorHAnsi"/>
        </w:rPr>
      </w:pPr>
      <w:r>
        <w:rPr>
          <w:rFonts w:asciiTheme="majorHAnsi" w:hAnsiTheme="majorHAnsi"/>
        </w:rPr>
        <w:t>e</w:t>
      </w:r>
      <w:r w:rsidR="0032764B">
        <w:rPr>
          <w:rFonts w:asciiTheme="majorHAnsi" w:hAnsiTheme="majorHAnsi"/>
        </w:rPr>
        <w:t>t</w:t>
      </w:r>
      <w:r>
        <w:rPr>
          <w:rFonts w:asciiTheme="majorHAnsi" w:hAnsiTheme="majorHAnsi"/>
        </w:rPr>
        <w:t xml:space="preserve"> nous semble justifier</w:t>
      </w:r>
      <w:r w:rsidR="0032764B">
        <w:rPr>
          <w:rFonts w:asciiTheme="majorHAnsi" w:hAnsiTheme="majorHAnsi"/>
        </w:rPr>
        <w:t xml:space="preserve"> </w:t>
      </w:r>
      <w:r w:rsidR="00122463">
        <w:rPr>
          <w:rFonts w:asciiTheme="majorHAnsi" w:hAnsiTheme="majorHAnsi"/>
        </w:rPr>
        <w:t>le maintien de leur</w:t>
      </w:r>
      <w:r w:rsidR="00CE63EE">
        <w:rPr>
          <w:rFonts w:asciiTheme="majorHAnsi" w:hAnsiTheme="majorHAnsi"/>
        </w:rPr>
        <w:t xml:space="preserve"> remboursement </w:t>
      </w:r>
      <w:r w:rsidR="00122463">
        <w:rPr>
          <w:rFonts w:asciiTheme="majorHAnsi" w:hAnsiTheme="majorHAnsi"/>
        </w:rPr>
        <w:t xml:space="preserve">quand </w:t>
      </w:r>
      <w:r>
        <w:rPr>
          <w:rFonts w:asciiTheme="majorHAnsi" w:hAnsiTheme="majorHAnsi"/>
        </w:rPr>
        <w:t xml:space="preserve">elles sont </w:t>
      </w:r>
      <w:r w:rsidR="00CE63EE">
        <w:rPr>
          <w:rFonts w:asciiTheme="majorHAnsi" w:hAnsiTheme="majorHAnsi"/>
        </w:rPr>
        <w:t>prescrites et réalisées par des rhumatologues, des orthopédistes ou des MPR</w:t>
      </w:r>
      <w:r w:rsidR="0032764B">
        <w:rPr>
          <w:rFonts w:asciiTheme="majorHAnsi" w:hAnsiTheme="majorHAnsi"/>
        </w:rPr>
        <w:t>, en deuxième intention comme c’est actuellement le cas</w:t>
      </w:r>
      <w:r w:rsidR="00CE63EE">
        <w:rPr>
          <w:rFonts w:asciiTheme="majorHAnsi" w:hAnsiTheme="majorHAnsi"/>
        </w:rPr>
        <w:t>.</w:t>
      </w:r>
    </w:p>
    <w:p w14:paraId="2113EBB4" w14:textId="3BED113A" w:rsidR="00CE63EE" w:rsidRPr="00435DDC" w:rsidRDefault="00CE63EE">
      <w:pPr>
        <w:rPr>
          <w:rFonts w:asciiTheme="majorHAnsi" w:hAnsiTheme="majorHAnsi"/>
        </w:rPr>
      </w:pPr>
      <w:r w:rsidRPr="00435DDC">
        <w:rPr>
          <w:rFonts w:asciiTheme="majorHAnsi" w:hAnsiTheme="majorHAnsi"/>
        </w:rPr>
        <w:br w:type="page"/>
      </w:r>
    </w:p>
    <w:p w14:paraId="144612B0" w14:textId="77777777" w:rsidR="00CE63EE" w:rsidRPr="005F256C" w:rsidRDefault="00CE63EE">
      <w:pPr>
        <w:rPr>
          <w:rFonts w:asciiTheme="majorHAnsi" w:hAnsiTheme="majorHAnsi"/>
          <w:b/>
        </w:rPr>
      </w:pPr>
      <w:r>
        <w:rPr>
          <w:rFonts w:asciiTheme="majorHAnsi" w:hAnsiTheme="majorHAnsi"/>
          <w:b/>
        </w:rPr>
        <w:lastRenderedPageBreak/>
        <w:t xml:space="preserve">7. </w:t>
      </w:r>
      <w:r w:rsidRPr="005F256C">
        <w:rPr>
          <w:rFonts w:asciiTheme="majorHAnsi" w:hAnsiTheme="majorHAnsi"/>
          <w:b/>
        </w:rPr>
        <w:t>Références :</w:t>
      </w:r>
    </w:p>
    <w:p w14:paraId="5F47A98D" w14:textId="77777777" w:rsidR="00CE63EE" w:rsidRDefault="00CE63EE" w:rsidP="00CE63EE">
      <w:pPr>
        <w:rPr>
          <w:rFonts w:asciiTheme="majorHAnsi" w:hAnsiTheme="majorHAnsi"/>
        </w:rPr>
      </w:pPr>
    </w:p>
    <w:p w14:paraId="5B40683A" w14:textId="1D35ACA7" w:rsidR="00CE63EE" w:rsidRDefault="00CE63EE" w:rsidP="00CE63EE">
      <w:pPr>
        <w:rPr>
          <w:rFonts w:asciiTheme="majorHAnsi" w:hAnsiTheme="majorHAnsi"/>
        </w:rPr>
      </w:pPr>
      <w:r>
        <w:rPr>
          <w:rFonts w:asciiTheme="majorHAnsi" w:hAnsiTheme="majorHAnsi"/>
        </w:rPr>
        <w:t>1.</w:t>
      </w:r>
      <w:r w:rsidR="00460D92" w:rsidRPr="00460D92">
        <w:rPr>
          <w:rFonts w:asciiTheme="majorHAnsi" w:hAnsiTheme="majorHAnsi"/>
        </w:rPr>
        <w:t xml:space="preserve"> </w:t>
      </w:r>
      <w:r w:rsidR="00460D92">
        <w:rPr>
          <w:rFonts w:asciiTheme="majorHAnsi" w:hAnsiTheme="majorHAnsi"/>
        </w:rPr>
        <w:t xml:space="preserve">Institut de recherche et documentation en économie de la santé (IRDES). Enquête Santé Protection Sociale 2006. </w:t>
      </w:r>
      <w:hyperlink r:id="rId8" w:history="1">
        <w:r w:rsidR="00460D92" w:rsidRPr="003B7C18">
          <w:rPr>
            <w:rStyle w:val="Lienhypertexte"/>
            <w:rFonts w:asciiTheme="majorHAnsi" w:hAnsiTheme="majorHAnsi"/>
          </w:rPr>
          <w:t>http://www.irdes.fr/Espace</w:t>
        </w:r>
      </w:hyperlink>
      <w:r w:rsidR="00460D92">
        <w:rPr>
          <w:rFonts w:asciiTheme="majorHAnsi" w:hAnsiTheme="majorHAnsi"/>
        </w:rPr>
        <w:t>Presse/CommuniquesDe Presse/ComPresseAutre/DossierPresseESPS2006.pdf</w:t>
      </w:r>
    </w:p>
    <w:p w14:paraId="50EB6963" w14:textId="77777777" w:rsidR="00CE63EE" w:rsidRDefault="00CE63EE" w:rsidP="00CE63EE">
      <w:pPr>
        <w:rPr>
          <w:rFonts w:asciiTheme="majorHAnsi" w:hAnsiTheme="majorHAnsi"/>
        </w:rPr>
      </w:pPr>
    </w:p>
    <w:p w14:paraId="7236DF84" w14:textId="6F1608EC" w:rsidR="00CE63EE" w:rsidRPr="0019118F" w:rsidRDefault="00CE63EE" w:rsidP="0019118F">
      <w:pPr>
        <w:autoSpaceDE w:val="0"/>
        <w:autoSpaceDN w:val="0"/>
        <w:adjustRightInd w:val="0"/>
        <w:rPr>
          <w:rFonts w:asciiTheme="majorHAnsi" w:hAnsiTheme="majorHAnsi" w:cs="Arial-BoldMT"/>
          <w:bCs/>
          <w:lang w:val="en-US"/>
        </w:rPr>
      </w:pPr>
      <w:r w:rsidRPr="0019118F">
        <w:rPr>
          <w:rFonts w:asciiTheme="majorHAnsi" w:hAnsiTheme="majorHAnsi"/>
          <w:lang w:val="en-US"/>
        </w:rPr>
        <w:t xml:space="preserve">2. </w:t>
      </w:r>
      <w:r w:rsidR="0019118F" w:rsidRPr="0019118F">
        <w:rPr>
          <w:rFonts w:asciiTheme="majorHAnsi" w:hAnsiTheme="majorHAnsi" w:cs="Arial-BoldMT"/>
          <w:bCs/>
          <w:lang w:val="en-US"/>
        </w:rPr>
        <w:t>Zhang Y,</w:t>
      </w:r>
      <w:r w:rsidR="0019118F" w:rsidRPr="0019118F">
        <w:rPr>
          <w:rFonts w:asciiTheme="majorHAnsi" w:hAnsiTheme="majorHAnsi" w:cs="ArialMT"/>
          <w:lang w:val="en-US"/>
        </w:rPr>
        <w:t xml:space="preserve"> </w:t>
      </w:r>
      <w:r w:rsidR="0019118F" w:rsidRPr="0019118F">
        <w:rPr>
          <w:rFonts w:asciiTheme="majorHAnsi" w:hAnsiTheme="majorHAnsi" w:cs="Arial-BoldMT"/>
          <w:bCs/>
          <w:lang w:val="en-US"/>
        </w:rPr>
        <w:t>Jordan JM. Epidemiology of Osteoarthritis.</w:t>
      </w:r>
      <w:r w:rsidR="0019118F" w:rsidRPr="0019118F">
        <w:rPr>
          <w:rFonts w:asciiTheme="majorHAnsi" w:hAnsiTheme="majorHAnsi" w:cs="Times New Roman"/>
          <w:lang w:val="en-US"/>
        </w:rPr>
        <w:t xml:space="preserve"> Clin Geriatr Med</w:t>
      </w:r>
      <w:r w:rsidR="0019118F">
        <w:rPr>
          <w:rFonts w:asciiTheme="majorHAnsi" w:hAnsiTheme="majorHAnsi" w:cs="Times New Roman"/>
          <w:lang w:val="en-US"/>
        </w:rPr>
        <w:t>. 2010; 26:355-</w:t>
      </w:r>
      <w:r w:rsidR="0019118F" w:rsidRPr="0019118F">
        <w:rPr>
          <w:rFonts w:asciiTheme="majorHAnsi" w:hAnsiTheme="majorHAnsi" w:cs="Times New Roman"/>
          <w:lang w:val="en-US"/>
        </w:rPr>
        <w:t>69.</w:t>
      </w:r>
    </w:p>
    <w:p w14:paraId="3E29C204" w14:textId="77777777" w:rsidR="00CE63EE" w:rsidRPr="0019118F" w:rsidRDefault="00CE63EE">
      <w:pPr>
        <w:rPr>
          <w:rFonts w:asciiTheme="majorHAnsi" w:hAnsiTheme="majorHAnsi"/>
          <w:lang w:val="en-US"/>
        </w:rPr>
      </w:pPr>
    </w:p>
    <w:p w14:paraId="6304DF0E" w14:textId="77777777" w:rsidR="00CE63EE" w:rsidRDefault="00CE63EE">
      <w:pPr>
        <w:rPr>
          <w:rFonts w:asciiTheme="majorHAnsi" w:hAnsiTheme="majorHAnsi"/>
          <w:lang w:val="en-US"/>
        </w:rPr>
      </w:pPr>
      <w:r w:rsidRPr="0019118F">
        <w:rPr>
          <w:rFonts w:asciiTheme="majorHAnsi" w:hAnsiTheme="majorHAnsi"/>
          <w:lang w:val="en-US"/>
        </w:rPr>
        <w:t xml:space="preserve">3. Reichmann WM, Katz JN, Burbine SA et al. </w:t>
      </w:r>
      <w:r w:rsidRPr="00676489">
        <w:rPr>
          <w:rFonts w:asciiTheme="majorHAnsi" w:hAnsiTheme="majorHAnsi"/>
          <w:lang w:val="en-US"/>
        </w:rPr>
        <w:t xml:space="preserve">Trends in the prevalence of symptomatic knee osteoarthritis from 2002 to 2009 (abstract). </w:t>
      </w:r>
      <w:r>
        <w:rPr>
          <w:rFonts w:asciiTheme="majorHAnsi" w:hAnsiTheme="majorHAnsi"/>
          <w:lang w:val="en-US"/>
        </w:rPr>
        <w:t>Arthritis Rheum 2011;63 (suppl 10) : 877.</w:t>
      </w:r>
    </w:p>
    <w:p w14:paraId="4CEE007D" w14:textId="77777777" w:rsidR="00CE63EE" w:rsidRPr="00CF6362" w:rsidRDefault="00CE63EE">
      <w:pPr>
        <w:rPr>
          <w:rFonts w:asciiTheme="majorHAnsi" w:hAnsiTheme="majorHAnsi"/>
          <w:lang w:val="en-US"/>
        </w:rPr>
      </w:pPr>
    </w:p>
    <w:p w14:paraId="6195A488" w14:textId="77777777" w:rsidR="00CE63EE" w:rsidRDefault="00CE63EE">
      <w:pPr>
        <w:rPr>
          <w:rFonts w:asciiTheme="majorHAnsi" w:hAnsiTheme="majorHAnsi"/>
          <w:lang w:val="en-US"/>
        </w:rPr>
      </w:pPr>
      <w:r w:rsidRPr="00CF6362">
        <w:rPr>
          <w:rFonts w:asciiTheme="majorHAnsi" w:hAnsiTheme="majorHAnsi"/>
          <w:lang w:val="en-US"/>
        </w:rPr>
        <w:t>4. Kurtz SM, Ong KL, Lau E, et al. International survey of primary and revision total knee replacement.</w:t>
      </w:r>
      <w:r>
        <w:rPr>
          <w:rFonts w:asciiTheme="majorHAnsi" w:hAnsiTheme="majorHAnsi"/>
          <w:lang w:val="en-US"/>
        </w:rPr>
        <w:t xml:space="preserve"> Intern Orthop 2011;35:1783-9.</w:t>
      </w:r>
    </w:p>
    <w:p w14:paraId="44D5EF8A" w14:textId="77777777" w:rsidR="00CE63EE" w:rsidRDefault="00CE63EE">
      <w:pPr>
        <w:rPr>
          <w:rFonts w:asciiTheme="majorHAnsi" w:hAnsiTheme="majorHAnsi"/>
          <w:lang w:val="en-US"/>
        </w:rPr>
      </w:pPr>
    </w:p>
    <w:p w14:paraId="5E535DD1" w14:textId="77777777" w:rsidR="00CE63EE" w:rsidRDefault="00CE63EE">
      <w:pPr>
        <w:rPr>
          <w:rFonts w:asciiTheme="majorHAnsi" w:hAnsiTheme="majorHAnsi"/>
          <w:lang w:val="en-US"/>
        </w:rPr>
      </w:pPr>
      <w:r>
        <w:rPr>
          <w:rFonts w:asciiTheme="majorHAnsi" w:hAnsiTheme="majorHAnsi"/>
          <w:lang w:val="en-US"/>
        </w:rPr>
        <w:t>5. Leskinen J, Eskelinen A, Huhtala H, Paavolainen P, Remes V. The incidence of knee arthroplasty for primary osteoarthritis grows rapidly among baby boomers. A population-based study in Finland. Arthritis Rheum 2012;64:423-8.</w:t>
      </w:r>
    </w:p>
    <w:p w14:paraId="3F430F37" w14:textId="77777777" w:rsidR="00CE63EE" w:rsidRDefault="00CE63EE">
      <w:pPr>
        <w:rPr>
          <w:rFonts w:asciiTheme="majorHAnsi" w:hAnsiTheme="majorHAnsi"/>
          <w:lang w:val="en-US"/>
        </w:rPr>
      </w:pPr>
    </w:p>
    <w:p w14:paraId="0AAB873A" w14:textId="77777777" w:rsidR="00CE63EE" w:rsidRPr="00E573E1" w:rsidRDefault="00CE63EE">
      <w:pPr>
        <w:rPr>
          <w:rFonts w:asciiTheme="majorHAnsi" w:hAnsiTheme="majorHAnsi" w:cs="Arial"/>
          <w:lang w:val="en-US"/>
        </w:rPr>
      </w:pPr>
      <w:r w:rsidRPr="000A1749">
        <w:rPr>
          <w:rFonts w:asciiTheme="majorHAnsi" w:hAnsiTheme="majorHAnsi"/>
          <w:lang w:val="en-US"/>
        </w:rPr>
        <w:t xml:space="preserve">6. </w:t>
      </w:r>
      <w:hyperlink r:id="rId9" w:history="1">
        <w:r w:rsidRPr="000A1749">
          <w:rPr>
            <w:rStyle w:val="highlight"/>
            <w:rFonts w:asciiTheme="majorHAnsi" w:hAnsiTheme="majorHAnsi" w:cs="Arial"/>
            <w:lang w:val="en-US"/>
          </w:rPr>
          <w:t>Kurtz S</w:t>
        </w:r>
      </w:hyperlink>
      <w:r w:rsidRPr="000A1749">
        <w:rPr>
          <w:rFonts w:asciiTheme="majorHAnsi" w:hAnsiTheme="majorHAnsi" w:cs="Arial"/>
          <w:lang w:val="en-US"/>
        </w:rPr>
        <w:t xml:space="preserve">, </w:t>
      </w:r>
      <w:hyperlink r:id="rId10" w:history="1">
        <w:r w:rsidRPr="000A1749">
          <w:rPr>
            <w:rStyle w:val="highlight"/>
            <w:rFonts w:asciiTheme="majorHAnsi" w:hAnsiTheme="majorHAnsi" w:cs="Arial"/>
            <w:lang w:val="en-US"/>
          </w:rPr>
          <w:t>Ong K</w:t>
        </w:r>
      </w:hyperlink>
      <w:r w:rsidRPr="000A1749">
        <w:rPr>
          <w:rFonts w:asciiTheme="majorHAnsi" w:hAnsiTheme="majorHAnsi" w:cs="Arial"/>
          <w:lang w:val="en-US"/>
        </w:rPr>
        <w:t xml:space="preserve">, </w:t>
      </w:r>
      <w:hyperlink r:id="rId11" w:history="1">
        <w:r w:rsidRPr="000A1749">
          <w:rPr>
            <w:rFonts w:asciiTheme="majorHAnsi" w:hAnsiTheme="majorHAnsi" w:cs="Arial"/>
            <w:lang w:val="en-US"/>
          </w:rPr>
          <w:t>Lau E</w:t>
        </w:r>
      </w:hyperlink>
      <w:r w:rsidRPr="000A1749">
        <w:rPr>
          <w:rFonts w:asciiTheme="majorHAnsi" w:hAnsiTheme="majorHAnsi" w:cs="Arial"/>
          <w:lang w:val="en-US"/>
        </w:rPr>
        <w:t xml:space="preserve">, </w:t>
      </w:r>
      <w:hyperlink r:id="rId12" w:history="1">
        <w:r w:rsidRPr="000A1749">
          <w:rPr>
            <w:rFonts w:asciiTheme="majorHAnsi" w:hAnsiTheme="majorHAnsi" w:cs="Arial"/>
            <w:lang w:val="en-US"/>
          </w:rPr>
          <w:t>Mowat F</w:t>
        </w:r>
      </w:hyperlink>
      <w:r w:rsidRPr="000A1749">
        <w:rPr>
          <w:rFonts w:asciiTheme="majorHAnsi" w:hAnsiTheme="majorHAnsi" w:cs="Arial"/>
          <w:lang w:val="en-US"/>
        </w:rPr>
        <w:t xml:space="preserve">, </w:t>
      </w:r>
      <w:hyperlink r:id="rId13" w:history="1">
        <w:r w:rsidRPr="000A1749">
          <w:rPr>
            <w:rFonts w:asciiTheme="majorHAnsi" w:hAnsiTheme="majorHAnsi" w:cs="Arial"/>
            <w:lang w:val="en-US"/>
          </w:rPr>
          <w:t>Halpern M</w:t>
        </w:r>
      </w:hyperlink>
      <w:r w:rsidRPr="000A1749">
        <w:rPr>
          <w:rFonts w:asciiTheme="majorHAnsi" w:hAnsiTheme="majorHAnsi" w:cs="Arial"/>
          <w:lang w:val="en-US"/>
        </w:rPr>
        <w:t xml:space="preserve">. Projections of primary and revision hip and knee arthroplasty in the United States from 2005 to 2030. </w:t>
      </w:r>
      <w:hyperlink r:id="rId14" w:tooltip="The Journal of bone and joint surgery. American volume." w:history="1">
        <w:r w:rsidRPr="00E573E1">
          <w:rPr>
            <w:rFonts w:asciiTheme="majorHAnsi" w:hAnsiTheme="majorHAnsi" w:cs="Arial"/>
            <w:lang w:val="en-US"/>
          </w:rPr>
          <w:t>J Bone Joint Surg Am.</w:t>
        </w:r>
      </w:hyperlink>
      <w:r w:rsidRPr="00E573E1">
        <w:rPr>
          <w:rFonts w:asciiTheme="majorHAnsi" w:hAnsiTheme="majorHAnsi" w:cs="Arial"/>
          <w:lang w:val="en-US"/>
        </w:rPr>
        <w:t xml:space="preserve"> </w:t>
      </w:r>
      <w:r w:rsidRPr="00E573E1">
        <w:rPr>
          <w:rStyle w:val="highlight"/>
          <w:rFonts w:asciiTheme="majorHAnsi" w:hAnsiTheme="majorHAnsi" w:cs="Arial"/>
          <w:lang w:val="en-US"/>
        </w:rPr>
        <w:t>2007</w:t>
      </w:r>
      <w:r w:rsidRPr="00E573E1">
        <w:rPr>
          <w:rFonts w:asciiTheme="majorHAnsi" w:hAnsiTheme="majorHAnsi" w:cs="Arial"/>
          <w:lang w:val="en-US"/>
        </w:rPr>
        <w:t> ;89:780-5.</w:t>
      </w:r>
    </w:p>
    <w:p w14:paraId="716F722A" w14:textId="77777777" w:rsidR="00CE63EE" w:rsidRPr="00E573E1" w:rsidRDefault="00CE63EE">
      <w:pPr>
        <w:rPr>
          <w:rFonts w:asciiTheme="majorHAnsi" w:hAnsiTheme="majorHAnsi" w:cs="Arial"/>
          <w:lang w:val="en-US"/>
        </w:rPr>
      </w:pPr>
    </w:p>
    <w:p w14:paraId="5B7BBB01" w14:textId="77777777" w:rsidR="00CE63EE" w:rsidRDefault="00CE63EE" w:rsidP="00CE63EE">
      <w:pPr>
        <w:autoSpaceDE w:val="0"/>
        <w:autoSpaceDN w:val="0"/>
        <w:adjustRightInd w:val="0"/>
        <w:rPr>
          <w:rFonts w:asciiTheme="majorHAnsi" w:hAnsiTheme="majorHAnsi" w:cs="AdvOT0231c847"/>
          <w:lang w:val="en-US"/>
        </w:rPr>
      </w:pPr>
      <w:r w:rsidRPr="000A1749">
        <w:rPr>
          <w:rFonts w:asciiTheme="majorHAnsi" w:hAnsiTheme="majorHAnsi" w:cs="Arial"/>
          <w:lang w:val="en-US"/>
        </w:rPr>
        <w:t xml:space="preserve">7. </w:t>
      </w:r>
      <w:r w:rsidRPr="000A1749">
        <w:rPr>
          <w:rFonts w:asciiTheme="majorHAnsi" w:hAnsiTheme="majorHAnsi" w:cs="AdvOT0231c847"/>
          <w:lang w:val="en-US"/>
        </w:rPr>
        <w:t>Otten R, Van Roermund PM, Picavet HS. Tren</w:t>
      </w:r>
      <w:r>
        <w:rPr>
          <w:rFonts w:asciiTheme="majorHAnsi" w:hAnsiTheme="majorHAnsi" w:cs="AdvOT0231c847"/>
          <w:lang w:val="en-US"/>
        </w:rPr>
        <w:t xml:space="preserve">ds in the number of knee and hip </w:t>
      </w:r>
      <w:r w:rsidRPr="000A1749">
        <w:rPr>
          <w:rFonts w:asciiTheme="majorHAnsi" w:hAnsiTheme="majorHAnsi" w:cs="AdvOT0231c847"/>
          <w:lang w:val="en-US"/>
        </w:rPr>
        <w:t>arthroplasties: considerably more knee and hip pros</w:t>
      </w:r>
      <w:r>
        <w:rPr>
          <w:rFonts w:asciiTheme="majorHAnsi" w:hAnsiTheme="majorHAnsi" w:cs="AdvOT0231c847"/>
          <w:lang w:val="en-US"/>
        </w:rPr>
        <w:t xml:space="preserve">theses due to osteoarthritis in </w:t>
      </w:r>
      <w:r w:rsidRPr="000A1749">
        <w:rPr>
          <w:rFonts w:asciiTheme="majorHAnsi" w:hAnsiTheme="majorHAnsi" w:cs="AdvOT0231c847"/>
          <w:lang w:val="en-US"/>
        </w:rPr>
        <w:t xml:space="preserve">2030. </w:t>
      </w:r>
      <w:r w:rsidRPr="000A1749">
        <w:rPr>
          <w:rFonts w:asciiTheme="majorHAnsi" w:hAnsiTheme="majorHAnsi" w:cs="AdvOTbe4cb9cb"/>
          <w:lang w:val="en-US"/>
        </w:rPr>
        <w:t xml:space="preserve">Ned Tijdschr Geneeskd </w:t>
      </w:r>
      <w:r w:rsidRPr="000A1749">
        <w:rPr>
          <w:rFonts w:asciiTheme="majorHAnsi" w:hAnsiTheme="majorHAnsi" w:cs="AdvOT0231c847"/>
          <w:lang w:val="en-US"/>
        </w:rPr>
        <w:t>2010;154:A1534.</w:t>
      </w:r>
    </w:p>
    <w:p w14:paraId="34C1F80B" w14:textId="77777777" w:rsidR="00CE63EE" w:rsidRDefault="00CE63EE" w:rsidP="00CE63EE">
      <w:pPr>
        <w:autoSpaceDE w:val="0"/>
        <w:autoSpaceDN w:val="0"/>
        <w:adjustRightInd w:val="0"/>
        <w:rPr>
          <w:rFonts w:asciiTheme="majorHAnsi" w:hAnsiTheme="majorHAnsi" w:cs="AdvOT0231c847"/>
          <w:lang w:val="en-US"/>
        </w:rPr>
      </w:pPr>
    </w:p>
    <w:p w14:paraId="1055A04E" w14:textId="77777777" w:rsidR="00CE63EE" w:rsidRPr="00A34ACF" w:rsidRDefault="00CE63EE" w:rsidP="00CE63EE">
      <w:pPr>
        <w:autoSpaceDE w:val="0"/>
        <w:autoSpaceDN w:val="0"/>
        <w:adjustRightInd w:val="0"/>
        <w:rPr>
          <w:rFonts w:asciiTheme="majorHAnsi" w:eastAsia="AdvOT863180fb" w:hAnsiTheme="majorHAnsi" w:cs="AdvOT863180fb"/>
          <w:lang w:val="en-US"/>
        </w:rPr>
      </w:pPr>
      <w:r>
        <w:rPr>
          <w:rFonts w:asciiTheme="majorHAnsi" w:hAnsiTheme="majorHAnsi" w:cs="AdvOT0231c847"/>
          <w:lang w:val="en-US"/>
        </w:rPr>
        <w:t xml:space="preserve">8. </w:t>
      </w:r>
      <w:r w:rsidRPr="00A34ACF">
        <w:rPr>
          <w:rFonts w:asciiTheme="majorHAnsi" w:hAnsiTheme="majorHAnsi" w:cs="AdvOT0231c847"/>
          <w:lang w:val="en-US"/>
        </w:rPr>
        <w:t xml:space="preserve">Zhang W, </w:t>
      </w:r>
      <w:r w:rsidRPr="00A34ACF">
        <w:rPr>
          <w:rFonts w:asciiTheme="majorHAnsi" w:eastAsia="AdvOT863180fb" w:hAnsiTheme="majorHAnsi" w:cs="AdvOT863180fb"/>
          <w:color w:val="000000"/>
          <w:lang w:val="en-US"/>
        </w:rPr>
        <w:t xml:space="preserve">Nuki G, Moskowitz RW, et al. </w:t>
      </w:r>
      <w:r>
        <w:rPr>
          <w:rFonts w:asciiTheme="majorHAnsi" w:eastAsia="AdvOT863180fb" w:hAnsiTheme="majorHAnsi" w:cs="AdvOT863180fb"/>
          <w:lang w:val="en-US"/>
        </w:rPr>
        <w:t xml:space="preserve">OARSI </w:t>
      </w:r>
      <w:r w:rsidRPr="00A34ACF">
        <w:rPr>
          <w:rFonts w:asciiTheme="majorHAnsi" w:eastAsia="AdvOT863180fb" w:hAnsiTheme="majorHAnsi" w:cs="AdvOT863180fb"/>
          <w:lang w:val="en-US"/>
        </w:rPr>
        <w:t>recommendations for the management</w:t>
      </w:r>
      <w:r>
        <w:rPr>
          <w:rFonts w:asciiTheme="majorHAnsi" w:eastAsia="AdvOT863180fb" w:hAnsiTheme="majorHAnsi" w:cs="AdvOT863180fb"/>
          <w:lang w:val="en-US"/>
        </w:rPr>
        <w:t xml:space="preserve"> of hip and knee osteoarthritis Part III: changes in </w:t>
      </w:r>
      <w:r w:rsidRPr="00A34ACF">
        <w:rPr>
          <w:rFonts w:asciiTheme="majorHAnsi" w:eastAsia="AdvOT863180fb" w:hAnsiTheme="majorHAnsi" w:cs="AdvOT863180fb"/>
          <w:lang w:val="en-US"/>
        </w:rPr>
        <w:t xml:space="preserve">evidence following </w:t>
      </w:r>
      <w:r>
        <w:rPr>
          <w:rFonts w:asciiTheme="majorHAnsi" w:eastAsia="AdvOT863180fb" w:hAnsiTheme="majorHAnsi" w:cs="AdvOT863180fb"/>
          <w:lang w:val="en-US"/>
        </w:rPr>
        <w:t xml:space="preserve">systematic cumulative update of </w:t>
      </w:r>
      <w:r w:rsidRPr="00A34ACF">
        <w:rPr>
          <w:rFonts w:asciiTheme="majorHAnsi" w:eastAsia="AdvOT863180fb" w:hAnsiTheme="majorHAnsi" w:cs="AdvOT863180fb"/>
          <w:lang w:val="en-US"/>
        </w:rPr>
        <w:t xml:space="preserve">research published through January 2009. </w:t>
      </w:r>
      <w:r>
        <w:rPr>
          <w:rFonts w:asciiTheme="majorHAnsi" w:eastAsia="AdvOT863180fb" w:hAnsiTheme="majorHAnsi" w:cs="AdvOT863180fb"/>
          <w:lang w:val="en-US"/>
        </w:rPr>
        <w:t>Osteoarthritis Cartil 18;2010:</w:t>
      </w:r>
      <w:r w:rsidRPr="00A34ACF">
        <w:rPr>
          <w:rFonts w:asciiTheme="majorHAnsi" w:eastAsia="AdvOT863180fb" w:hAnsiTheme="majorHAnsi" w:cs="AdvOT863180fb"/>
          <w:lang w:val="en-US"/>
        </w:rPr>
        <w:t>476</w:t>
      </w:r>
      <w:r>
        <w:rPr>
          <w:rFonts w:asciiTheme="majorHAnsi" w:eastAsia="AdvOT863180fb" w:hAnsiTheme="majorHAnsi" w:cs="AdvOT863180fb"/>
          <w:lang w:val="en-US"/>
        </w:rPr>
        <w:t>-</w:t>
      </w:r>
      <w:r w:rsidRPr="00A34ACF">
        <w:rPr>
          <w:rFonts w:asciiTheme="majorHAnsi" w:eastAsia="AdvOT863180fb" w:hAnsiTheme="majorHAnsi" w:cs="AdvOT863180fb"/>
          <w:lang w:val="en-US"/>
        </w:rPr>
        <w:t>99</w:t>
      </w:r>
      <w:r>
        <w:rPr>
          <w:rFonts w:asciiTheme="majorHAnsi" w:eastAsia="AdvOT863180fb" w:hAnsiTheme="majorHAnsi" w:cs="AdvOT863180fb"/>
          <w:lang w:val="en-US"/>
        </w:rPr>
        <w:t>.</w:t>
      </w:r>
    </w:p>
    <w:p w14:paraId="3FF38FCD" w14:textId="77777777" w:rsidR="00CE63EE" w:rsidRDefault="00CE63EE" w:rsidP="00CE63EE">
      <w:pPr>
        <w:autoSpaceDE w:val="0"/>
        <w:autoSpaceDN w:val="0"/>
        <w:adjustRightInd w:val="0"/>
        <w:rPr>
          <w:rFonts w:asciiTheme="majorHAnsi" w:hAnsiTheme="majorHAnsi" w:cs="AdvOT0231c847"/>
          <w:lang w:val="en-US"/>
        </w:rPr>
      </w:pPr>
    </w:p>
    <w:p w14:paraId="7DE07F8A" w14:textId="77777777" w:rsidR="00CE63EE" w:rsidRPr="00A34ACF" w:rsidRDefault="00CE63EE" w:rsidP="00CE63EE">
      <w:pPr>
        <w:autoSpaceDE w:val="0"/>
        <w:autoSpaceDN w:val="0"/>
        <w:adjustRightInd w:val="0"/>
        <w:rPr>
          <w:rFonts w:asciiTheme="majorHAnsi" w:hAnsiTheme="majorHAnsi" w:cs="Arial"/>
          <w:bCs/>
          <w:lang w:val="en-US"/>
        </w:rPr>
      </w:pPr>
      <w:r w:rsidRPr="00A34ACF">
        <w:rPr>
          <w:rFonts w:asciiTheme="majorHAnsi" w:hAnsiTheme="majorHAnsi" w:cs="AdvOT0231c847"/>
          <w:lang w:val="en-US"/>
        </w:rPr>
        <w:t xml:space="preserve">9. </w:t>
      </w:r>
      <w:r w:rsidRPr="00A34ACF">
        <w:rPr>
          <w:rFonts w:asciiTheme="majorHAnsi" w:hAnsiTheme="majorHAnsi" w:cs="Arial"/>
          <w:lang w:val="en-US"/>
        </w:rPr>
        <w:t xml:space="preserve">Jordan K M, Arden N K, Doherty M et al. </w:t>
      </w:r>
      <w:r w:rsidRPr="00A34ACF">
        <w:rPr>
          <w:rFonts w:asciiTheme="majorHAnsi" w:hAnsiTheme="majorHAnsi" w:cs="Arial"/>
          <w:bCs/>
          <w:lang w:val="en-US"/>
        </w:rPr>
        <w:t>EULAR Recommendations 2003: an evidence based approach to the management of knee osteoarthritis: Report of a Task Force of the Standing Committee for International Clinical Studies Including Therapeutic Trials (ESCISIT).</w:t>
      </w:r>
      <w:r w:rsidRPr="00A34ACF">
        <w:rPr>
          <w:rFonts w:asciiTheme="majorHAnsi" w:hAnsiTheme="majorHAnsi" w:cs="Arial"/>
          <w:iCs/>
          <w:lang w:val="en-US"/>
        </w:rPr>
        <w:t xml:space="preserve"> </w:t>
      </w:r>
      <w:r w:rsidRPr="008D5F5E">
        <w:rPr>
          <w:rFonts w:asciiTheme="majorHAnsi" w:hAnsiTheme="majorHAnsi" w:cs="Arial"/>
          <w:iCs/>
          <w:lang w:val="en-US"/>
        </w:rPr>
        <w:t>Ann Rheum Dis</w:t>
      </w:r>
      <w:r>
        <w:rPr>
          <w:rFonts w:asciiTheme="majorHAnsi" w:hAnsiTheme="majorHAnsi" w:cs="Arial"/>
          <w:iCs/>
          <w:lang w:val="en-US"/>
        </w:rPr>
        <w:t> </w:t>
      </w:r>
      <w:r w:rsidRPr="008D5F5E">
        <w:rPr>
          <w:rFonts w:asciiTheme="majorHAnsi" w:hAnsiTheme="majorHAnsi" w:cs="Arial"/>
          <w:lang w:val="en-US"/>
        </w:rPr>
        <w:t>2003</w:t>
      </w:r>
      <w:r>
        <w:rPr>
          <w:rFonts w:asciiTheme="majorHAnsi" w:hAnsiTheme="majorHAnsi" w:cs="Arial"/>
          <w:lang w:val="en-US"/>
        </w:rPr>
        <w:t> ;</w:t>
      </w:r>
      <w:r w:rsidRPr="008D5F5E">
        <w:rPr>
          <w:rFonts w:asciiTheme="majorHAnsi" w:hAnsiTheme="majorHAnsi" w:cs="Arial"/>
          <w:lang w:val="en-US"/>
        </w:rPr>
        <w:t>62</w:t>
      </w:r>
      <w:r>
        <w:rPr>
          <w:rFonts w:asciiTheme="majorHAnsi" w:hAnsiTheme="majorHAnsi" w:cs="Arial"/>
          <w:lang w:val="en-US"/>
        </w:rPr>
        <w:t> ;</w:t>
      </w:r>
      <w:r w:rsidRPr="008D5F5E">
        <w:rPr>
          <w:rFonts w:asciiTheme="majorHAnsi" w:hAnsiTheme="majorHAnsi" w:cs="Arial"/>
          <w:lang w:val="en-US"/>
        </w:rPr>
        <w:t>1145-55.</w:t>
      </w:r>
    </w:p>
    <w:p w14:paraId="2889C9B2" w14:textId="77777777" w:rsidR="00CE63EE" w:rsidRDefault="00CE63EE" w:rsidP="00CE63EE">
      <w:pPr>
        <w:autoSpaceDE w:val="0"/>
        <w:autoSpaceDN w:val="0"/>
        <w:adjustRightInd w:val="0"/>
        <w:rPr>
          <w:rFonts w:asciiTheme="majorHAnsi" w:hAnsiTheme="majorHAnsi" w:cs="AdvOT0231c847"/>
          <w:lang w:val="en-US"/>
        </w:rPr>
      </w:pPr>
    </w:p>
    <w:p w14:paraId="490B6F2E" w14:textId="77777777" w:rsidR="00CE63EE" w:rsidRPr="008D5F5E" w:rsidRDefault="00CE63EE" w:rsidP="00CE63EE">
      <w:pPr>
        <w:shd w:val="clear" w:color="auto" w:fill="FFFFFF"/>
        <w:rPr>
          <w:rFonts w:asciiTheme="majorHAnsi" w:eastAsia="Times New Roman" w:hAnsiTheme="majorHAnsi" w:cs="Arial"/>
          <w:lang w:val="en-US"/>
        </w:rPr>
      </w:pPr>
      <w:r w:rsidRPr="008D5F5E">
        <w:rPr>
          <w:rFonts w:asciiTheme="majorHAnsi" w:hAnsiTheme="majorHAnsi" w:cs="AdvOT0231c847"/>
          <w:lang w:val="en-US"/>
        </w:rPr>
        <w:t xml:space="preserve">10. </w:t>
      </w:r>
      <w:r w:rsidRPr="008D5F5E">
        <w:rPr>
          <w:rFonts w:asciiTheme="majorHAnsi" w:hAnsiTheme="majorHAnsi" w:cs="Arial"/>
          <w:lang w:val="en-US"/>
        </w:rPr>
        <w:t xml:space="preserve">Hochberg MC, Altman RD, April KT, et al. </w:t>
      </w:r>
      <w:hyperlink r:id="rId15" w:history="1">
        <w:r w:rsidRPr="008D5F5E">
          <w:rPr>
            <w:rFonts w:asciiTheme="majorHAnsi" w:eastAsia="Times New Roman" w:hAnsiTheme="majorHAnsi" w:cs="Arial"/>
            <w:lang w:val="en-US"/>
          </w:rPr>
          <w:t>American College of Rheumatology 2012 recommendations for the use of nonpharmacologic and pharmacologic therapies in osteoarthritis of the hand, hip, and knee.</w:t>
        </w:r>
      </w:hyperlink>
      <w:r w:rsidRPr="008D5F5E">
        <w:rPr>
          <w:rFonts w:asciiTheme="majorHAnsi" w:hAnsiTheme="majorHAnsi" w:cs="Arial"/>
          <w:lang w:val="en-US"/>
        </w:rPr>
        <w:t xml:space="preserve"> </w:t>
      </w:r>
      <w:r w:rsidRPr="00E573E1">
        <w:rPr>
          <w:rStyle w:val="jrnl"/>
          <w:rFonts w:asciiTheme="majorHAnsi" w:hAnsiTheme="majorHAnsi" w:cs="Arial"/>
          <w:lang w:val="en-US"/>
        </w:rPr>
        <w:t>Arthritis Care Res</w:t>
      </w:r>
      <w:r w:rsidRPr="00E573E1">
        <w:rPr>
          <w:rFonts w:asciiTheme="majorHAnsi" w:hAnsiTheme="majorHAnsi" w:cs="Arial"/>
          <w:lang w:val="en-US"/>
        </w:rPr>
        <w:t xml:space="preserve"> 2012;64:465-74.</w:t>
      </w:r>
    </w:p>
    <w:p w14:paraId="56B5166B" w14:textId="77777777" w:rsidR="00CE63EE" w:rsidRDefault="00CE63EE" w:rsidP="00CE63EE">
      <w:pPr>
        <w:autoSpaceDE w:val="0"/>
        <w:autoSpaceDN w:val="0"/>
        <w:adjustRightInd w:val="0"/>
        <w:rPr>
          <w:rFonts w:asciiTheme="majorHAnsi" w:hAnsiTheme="majorHAnsi" w:cs="AdvOT0231c847"/>
          <w:lang w:val="en-US"/>
        </w:rPr>
      </w:pPr>
    </w:p>
    <w:p w14:paraId="7C29F77C" w14:textId="77777777" w:rsidR="00CE63EE" w:rsidRPr="00413860" w:rsidRDefault="00CE63EE" w:rsidP="00CE63EE">
      <w:pPr>
        <w:autoSpaceDE w:val="0"/>
        <w:autoSpaceDN w:val="0"/>
        <w:adjustRightInd w:val="0"/>
        <w:rPr>
          <w:rFonts w:asciiTheme="majorHAnsi" w:hAnsiTheme="majorHAnsi" w:cs="Frutiger"/>
          <w:lang w:val="en-US"/>
        </w:rPr>
      </w:pPr>
      <w:r>
        <w:rPr>
          <w:rFonts w:asciiTheme="majorHAnsi" w:hAnsiTheme="majorHAnsi" w:cs="AdvOT0231c847"/>
          <w:lang w:val="en-US"/>
        </w:rPr>
        <w:t xml:space="preserve">11. </w:t>
      </w:r>
      <w:r>
        <w:rPr>
          <w:rFonts w:asciiTheme="majorHAnsi" w:hAnsiTheme="majorHAnsi" w:cs="Frutiger"/>
          <w:lang w:val="en-US"/>
        </w:rPr>
        <w:t xml:space="preserve">Osteoarthritis. </w:t>
      </w:r>
      <w:r w:rsidRPr="00413860">
        <w:rPr>
          <w:rFonts w:asciiTheme="majorHAnsi" w:hAnsiTheme="majorHAnsi" w:cs="Frutiger"/>
          <w:lang w:val="en-US"/>
        </w:rPr>
        <w:t xml:space="preserve">The care and </w:t>
      </w:r>
      <w:r>
        <w:rPr>
          <w:rFonts w:asciiTheme="majorHAnsi" w:hAnsiTheme="majorHAnsi" w:cs="Frutiger"/>
          <w:lang w:val="en-US"/>
        </w:rPr>
        <w:t xml:space="preserve">management of osteoarthritis in adults. </w:t>
      </w:r>
      <w:r w:rsidRPr="00413860">
        <w:rPr>
          <w:rFonts w:asciiTheme="majorHAnsi" w:hAnsiTheme="majorHAnsi" w:cs="Arial"/>
          <w:lang w:val="en-US"/>
        </w:rPr>
        <w:t>Issued: February 2008</w:t>
      </w:r>
      <w:r>
        <w:rPr>
          <w:rFonts w:asciiTheme="majorHAnsi" w:hAnsiTheme="majorHAnsi" w:cs="Frutiger"/>
          <w:lang w:val="en-US"/>
        </w:rPr>
        <w:t xml:space="preserve">. </w:t>
      </w:r>
      <w:r w:rsidRPr="00413860">
        <w:rPr>
          <w:rFonts w:asciiTheme="majorHAnsi" w:hAnsiTheme="majorHAnsi" w:cs="Arial,Bold"/>
          <w:bCs/>
          <w:lang w:val="en-US"/>
        </w:rPr>
        <w:t>NICE clinical guideline</w:t>
      </w:r>
      <w:r>
        <w:rPr>
          <w:rFonts w:asciiTheme="majorHAnsi" w:hAnsiTheme="majorHAnsi" w:cs="Arial,Bold"/>
          <w:bCs/>
          <w:lang w:val="en-US"/>
        </w:rPr>
        <w:t> </w:t>
      </w:r>
      <w:r w:rsidRPr="00413860">
        <w:rPr>
          <w:rFonts w:asciiTheme="majorHAnsi" w:hAnsiTheme="majorHAnsi" w:cs="Arial,Bold"/>
          <w:bCs/>
          <w:lang w:val="en-US"/>
        </w:rPr>
        <w:t>59</w:t>
      </w:r>
      <w:r>
        <w:rPr>
          <w:rFonts w:asciiTheme="majorHAnsi" w:hAnsiTheme="majorHAnsi" w:cs="Frutiger"/>
          <w:lang w:val="en-US"/>
        </w:rPr>
        <w:t>. Accessed at : www.</w:t>
      </w:r>
      <w:r w:rsidRPr="00413860">
        <w:rPr>
          <w:rFonts w:asciiTheme="majorHAnsi" w:hAnsiTheme="majorHAnsi" w:cs="Arial"/>
          <w:lang w:val="en-US"/>
        </w:rPr>
        <w:t>guidance.nice.org.uk/cg59</w:t>
      </w:r>
    </w:p>
    <w:p w14:paraId="71085079" w14:textId="77777777" w:rsidR="00CE63EE" w:rsidRDefault="00CE63EE" w:rsidP="00CE63EE">
      <w:pPr>
        <w:autoSpaceDE w:val="0"/>
        <w:autoSpaceDN w:val="0"/>
        <w:adjustRightInd w:val="0"/>
        <w:rPr>
          <w:rFonts w:asciiTheme="majorHAnsi" w:hAnsiTheme="majorHAnsi" w:cs="AdvOT0231c847"/>
          <w:lang w:val="en-US"/>
        </w:rPr>
      </w:pPr>
    </w:p>
    <w:p w14:paraId="670418AF" w14:textId="77777777" w:rsidR="00CE63EE" w:rsidRPr="006A46BA" w:rsidRDefault="00CE63EE" w:rsidP="00CE63EE">
      <w:pPr>
        <w:rPr>
          <w:rFonts w:asciiTheme="majorHAnsi" w:eastAsia="Times New Roman" w:hAnsiTheme="majorHAnsi" w:cs="Arial"/>
          <w:color w:val="222222"/>
          <w:lang w:val="en-US"/>
        </w:rPr>
      </w:pPr>
      <w:r w:rsidRPr="006A46BA">
        <w:rPr>
          <w:rFonts w:asciiTheme="majorHAnsi" w:hAnsiTheme="majorHAnsi" w:cs="AdvOT0231c847"/>
          <w:lang w:val="en-US"/>
        </w:rPr>
        <w:t>12. American Academy of Orthopedic Surgeons</w:t>
      </w:r>
      <w:r w:rsidRPr="006A46BA">
        <w:rPr>
          <w:rFonts w:asciiTheme="majorHAnsi" w:hAnsiTheme="majorHAnsi"/>
          <w:lang w:val="en-US"/>
        </w:rPr>
        <w:t xml:space="preserve">. </w:t>
      </w:r>
      <w:r w:rsidRPr="006A46BA">
        <w:rPr>
          <w:rFonts w:asciiTheme="majorHAnsi" w:hAnsiTheme="majorHAnsi"/>
          <w:bCs/>
          <w:iCs/>
          <w:lang w:val="en-US"/>
        </w:rPr>
        <w:t xml:space="preserve">Treatment of Osteoarthritis of the Knee, </w:t>
      </w:r>
      <w:r w:rsidRPr="006A46BA">
        <w:rPr>
          <w:rFonts w:asciiTheme="majorHAnsi" w:hAnsiTheme="majorHAnsi"/>
          <w:bCs/>
          <w:lang w:val="en-US"/>
        </w:rPr>
        <w:t xml:space="preserve">2nd Edition. Summary of Recommendations. </w:t>
      </w:r>
      <w:r>
        <w:rPr>
          <w:rFonts w:asciiTheme="majorHAnsi" w:hAnsiTheme="majorHAnsi"/>
          <w:bCs/>
          <w:lang w:val="en-US"/>
        </w:rPr>
        <w:t xml:space="preserve">May, 18 2013 . Accessed on July 23, 2013 at </w:t>
      </w:r>
      <w:r w:rsidRPr="006A46BA">
        <w:rPr>
          <w:rFonts w:asciiTheme="majorHAnsi" w:eastAsia="Times New Roman" w:hAnsiTheme="majorHAnsi" w:cs="Arial"/>
          <w:i/>
          <w:iCs/>
          <w:color w:val="222222"/>
          <w:lang w:val="en-US"/>
        </w:rPr>
        <w:t>www.</w:t>
      </w:r>
      <w:r w:rsidRPr="006A46BA">
        <w:rPr>
          <w:rFonts w:asciiTheme="majorHAnsi" w:eastAsia="Times New Roman" w:hAnsiTheme="majorHAnsi" w:cs="Arial"/>
          <w:b/>
          <w:bCs/>
          <w:i/>
          <w:iCs/>
          <w:color w:val="222222"/>
          <w:lang w:val="en-US"/>
        </w:rPr>
        <w:t>aaos</w:t>
      </w:r>
      <w:r w:rsidRPr="006A46BA">
        <w:rPr>
          <w:rFonts w:asciiTheme="majorHAnsi" w:eastAsia="Times New Roman" w:hAnsiTheme="majorHAnsi" w:cs="Arial"/>
          <w:i/>
          <w:iCs/>
          <w:color w:val="222222"/>
          <w:lang w:val="en-US"/>
        </w:rPr>
        <w:t>.</w:t>
      </w:r>
      <w:r w:rsidRPr="006A46BA">
        <w:rPr>
          <w:rFonts w:asciiTheme="majorHAnsi" w:eastAsia="Times New Roman" w:hAnsiTheme="majorHAnsi" w:cs="Arial"/>
          <w:b/>
          <w:bCs/>
          <w:i/>
          <w:iCs/>
          <w:color w:val="222222"/>
          <w:lang w:val="en-US"/>
        </w:rPr>
        <w:t>org</w:t>
      </w:r>
      <w:r w:rsidRPr="006A46BA">
        <w:rPr>
          <w:rFonts w:asciiTheme="majorHAnsi" w:eastAsia="Times New Roman" w:hAnsiTheme="majorHAnsi" w:cs="Arial"/>
          <w:i/>
          <w:iCs/>
          <w:color w:val="222222"/>
          <w:lang w:val="en-US"/>
        </w:rPr>
        <w:t>/</w:t>
      </w:r>
      <w:r w:rsidRPr="006A46BA">
        <w:rPr>
          <w:rFonts w:asciiTheme="majorHAnsi" w:eastAsia="Times New Roman" w:hAnsiTheme="majorHAnsi" w:cs="Arial"/>
          <w:b/>
          <w:bCs/>
          <w:i/>
          <w:iCs/>
          <w:color w:val="222222"/>
          <w:lang w:val="en-US"/>
        </w:rPr>
        <w:t>research</w:t>
      </w:r>
      <w:r w:rsidRPr="006A46BA">
        <w:rPr>
          <w:rFonts w:asciiTheme="majorHAnsi" w:eastAsia="Times New Roman" w:hAnsiTheme="majorHAnsi" w:cs="Arial"/>
          <w:i/>
          <w:iCs/>
          <w:color w:val="222222"/>
          <w:lang w:val="en-US"/>
        </w:rPr>
        <w:t>/guidelines/</w:t>
      </w:r>
      <w:r w:rsidRPr="006A46BA">
        <w:rPr>
          <w:rFonts w:asciiTheme="majorHAnsi" w:eastAsia="Times New Roman" w:hAnsiTheme="majorHAnsi" w:cs="Arial"/>
          <w:b/>
          <w:bCs/>
          <w:i/>
          <w:iCs/>
          <w:color w:val="222222"/>
          <w:lang w:val="en-US"/>
        </w:rPr>
        <w:t>guidelineoaknee</w:t>
      </w:r>
      <w:r w:rsidRPr="006A46BA">
        <w:rPr>
          <w:rFonts w:asciiTheme="majorHAnsi" w:eastAsia="Times New Roman" w:hAnsiTheme="majorHAnsi" w:cs="Arial"/>
          <w:i/>
          <w:iCs/>
          <w:color w:val="222222"/>
          <w:lang w:val="en-US"/>
        </w:rPr>
        <w:t>.</w:t>
      </w:r>
      <w:r w:rsidRPr="006A46BA">
        <w:rPr>
          <w:rFonts w:asciiTheme="majorHAnsi" w:eastAsia="Times New Roman" w:hAnsiTheme="majorHAnsi" w:cs="Arial"/>
          <w:b/>
          <w:bCs/>
          <w:i/>
          <w:iCs/>
          <w:color w:val="222222"/>
          <w:lang w:val="en-US"/>
        </w:rPr>
        <w:t>asp</w:t>
      </w:r>
      <w:r w:rsidRPr="006A46BA">
        <w:rPr>
          <w:rFonts w:asciiTheme="majorHAnsi" w:eastAsia="Times New Roman" w:hAnsiTheme="majorHAnsi" w:cs="Arial"/>
          <w:color w:val="222222"/>
          <w:lang w:val="en-US"/>
        </w:rPr>
        <w:t>‎</w:t>
      </w:r>
    </w:p>
    <w:p w14:paraId="2333CC9D" w14:textId="77777777" w:rsidR="00CE63EE" w:rsidRDefault="00CE63EE" w:rsidP="00CE63EE">
      <w:pPr>
        <w:rPr>
          <w:rFonts w:asciiTheme="majorHAnsi" w:hAnsiTheme="majorHAnsi" w:cs="AdvOT0231c847"/>
          <w:lang w:val="en-US"/>
        </w:rPr>
      </w:pPr>
    </w:p>
    <w:p w14:paraId="153D711D" w14:textId="77777777" w:rsidR="00CE63EE" w:rsidRDefault="00CE63EE" w:rsidP="00CE63EE">
      <w:pPr>
        <w:autoSpaceDE w:val="0"/>
        <w:autoSpaceDN w:val="0"/>
        <w:adjustRightInd w:val="0"/>
        <w:rPr>
          <w:rFonts w:asciiTheme="majorHAnsi" w:hAnsiTheme="majorHAnsi" w:cs="AdvP6EC0"/>
          <w:lang w:val="en-US"/>
        </w:rPr>
      </w:pPr>
      <w:r>
        <w:rPr>
          <w:rFonts w:asciiTheme="majorHAnsi" w:hAnsiTheme="majorHAnsi" w:cs="AdvOT0231c847"/>
          <w:lang w:val="en-US"/>
        </w:rPr>
        <w:lastRenderedPageBreak/>
        <w:t xml:space="preserve">13. </w:t>
      </w:r>
      <w:r w:rsidRPr="002A564E">
        <w:rPr>
          <w:rFonts w:asciiTheme="majorHAnsi" w:hAnsiTheme="majorHAnsi" w:cs="AdvP6EC0"/>
          <w:lang w:val="en-US"/>
        </w:rPr>
        <w:t>Lo GH, La Valley M, McAlind</w:t>
      </w:r>
      <w:r>
        <w:rPr>
          <w:rFonts w:asciiTheme="majorHAnsi" w:hAnsiTheme="majorHAnsi" w:cs="AdvP6EC0"/>
          <w:lang w:val="en-US"/>
        </w:rPr>
        <w:t xml:space="preserve">on T, Felson D. Intra-articular hyaluronic acid in treatment of knee osteoarthritis. </w:t>
      </w:r>
      <w:r w:rsidRPr="002A564E">
        <w:rPr>
          <w:rFonts w:asciiTheme="majorHAnsi" w:hAnsiTheme="majorHAnsi" w:cs="AdvP6EC0"/>
          <w:lang w:val="en-US"/>
        </w:rPr>
        <w:t>A meta-analysis. JAMA</w:t>
      </w:r>
      <w:r>
        <w:rPr>
          <w:rFonts w:asciiTheme="majorHAnsi" w:hAnsiTheme="majorHAnsi" w:cs="AdvP6EC0"/>
          <w:lang w:val="en-US"/>
        </w:rPr>
        <w:t> </w:t>
      </w:r>
      <w:r w:rsidRPr="002A564E">
        <w:rPr>
          <w:rFonts w:asciiTheme="majorHAnsi" w:hAnsiTheme="majorHAnsi" w:cs="AdvP6EC0"/>
          <w:lang w:val="en-US"/>
        </w:rPr>
        <w:t>2003</w:t>
      </w:r>
      <w:r>
        <w:rPr>
          <w:rFonts w:asciiTheme="majorHAnsi" w:hAnsiTheme="majorHAnsi" w:cs="AdvP6EC0"/>
          <w:lang w:val="en-US"/>
        </w:rPr>
        <w:t> ;</w:t>
      </w:r>
      <w:r w:rsidRPr="002A564E">
        <w:rPr>
          <w:rFonts w:asciiTheme="majorHAnsi" w:hAnsiTheme="majorHAnsi" w:cs="AdvP6EC0"/>
          <w:lang w:val="en-US"/>
        </w:rPr>
        <w:t>290:3115</w:t>
      </w:r>
      <w:r>
        <w:rPr>
          <w:rFonts w:asciiTheme="majorHAnsi" w:hAnsiTheme="majorHAnsi" w:cs="AdvPS44A44B"/>
          <w:lang w:val="en-US"/>
        </w:rPr>
        <w:t>-</w:t>
      </w:r>
      <w:r w:rsidRPr="002A564E">
        <w:rPr>
          <w:rFonts w:asciiTheme="majorHAnsi" w:hAnsiTheme="majorHAnsi" w:cs="AdvP6EC0"/>
          <w:lang w:val="en-US"/>
        </w:rPr>
        <w:t>21.</w:t>
      </w:r>
    </w:p>
    <w:p w14:paraId="71292359" w14:textId="77777777" w:rsidR="00CE63EE" w:rsidRDefault="00CE63EE" w:rsidP="00CE63EE">
      <w:pPr>
        <w:autoSpaceDE w:val="0"/>
        <w:autoSpaceDN w:val="0"/>
        <w:adjustRightInd w:val="0"/>
        <w:rPr>
          <w:rFonts w:asciiTheme="majorHAnsi" w:hAnsiTheme="majorHAnsi" w:cs="AdvP6EC0"/>
          <w:lang w:val="en-US"/>
        </w:rPr>
      </w:pPr>
    </w:p>
    <w:p w14:paraId="523E07EA" w14:textId="77777777" w:rsidR="00CE63EE" w:rsidRPr="002A564E" w:rsidRDefault="00CE63EE" w:rsidP="00CE63EE">
      <w:pPr>
        <w:autoSpaceDE w:val="0"/>
        <w:autoSpaceDN w:val="0"/>
        <w:adjustRightInd w:val="0"/>
        <w:rPr>
          <w:rFonts w:asciiTheme="majorHAnsi" w:hAnsiTheme="majorHAnsi" w:cs="AdvP6EC0"/>
          <w:lang w:val="en-US"/>
        </w:rPr>
      </w:pPr>
      <w:r w:rsidRPr="00E573E1">
        <w:rPr>
          <w:rFonts w:asciiTheme="majorHAnsi" w:hAnsiTheme="majorHAnsi" w:cs="AdvP6EC0"/>
          <w:lang w:val="en-US"/>
        </w:rPr>
        <w:t xml:space="preserve">14. Wang CT, Lin J, Change CJ, Lin YT, Hou SM. </w:t>
      </w:r>
      <w:r>
        <w:rPr>
          <w:rFonts w:asciiTheme="majorHAnsi" w:hAnsiTheme="majorHAnsi" w:cs="AdvP6EC0"/>
          <w:lang w:val="en-US"/>
        </w:rPr>
        <w:t xml:space="preserve">Therapeutic </w:t>
      </w:r>
      <w:r w:rsidRPr="002A564E">
        <w:rPr>
          <w:rFonts w:asciiTheme="majorHAnsi" w:hAnsiTheme="majorHAnsi" w:cs="AdvP6EC0"/>
          <w:lang w:val="en-US"/>
        </w:rPr>
        <w:t>effects of hyalu</w:t>
      </w:r>
      <w:r>
        <w:rPr>
          <w:rFonts w:asciiTheme="majorHAnsi" w:hAnsiTheme="majorHAnsi" w:cs="AdvP6EC0"/>
          <w:lang w:val="en-US"/>
        </w:rPr>
        <w:t xml:space="preserve">ronic acid on osteoarthritis of </w:t>
      </w:r>
      <w:r w:rsidRPr="002A564E">
        <w:rPr>
          <w:rFonts w:asciiTheme="majorHAnsi" w:hAnsiTheme="majorHAnsi" w:cs="AdvP6EC0"/>
          <w:lang w:val="en-US"/>
        </w:rPr>
        <w:t>the knee. A meta-analysis o</w:t>
      </w:r>
      <w:r>
        <w:rPr>
          <w:rFonts w:asciiTheme="majorHAnsi" w:hAnsiTheme="majorHAnsi" w:cs="AdvP6EC0"/>
          <w:lang w:val="en-US"/>
        </w:rPr>
        <w:t xml:space="preserve">f randomized controlled trials. </w:t>
      </w:r>
      <w:r w:rsidRPr="002A564E">
        <w:rPr>
          <w:rFonts w:asciiTheme="majorHAnsi" w:hAnsiTheme="majorHAnsi" w:cs="AdvP6EC0"/>
          <w:lang w:val="en-US"/>
        </w:rPr>
        <w:t>J Bone Joint Surg</w:t>
      </w:r>
      <w:r>
        <w:rPr>
          <w:rFonts w:asciiTheme="majorHAnsi" w:hAnsiTheme="majorHAnsi" w:cs="AdvP6EC0"/>
          <w:lang w:val="en-US"/>
        </w:rPr>
        <w:t> </w:t>
      </w:r>
      <w:r w:rsidRPr="002A564E">
        <w:rPr>
          <w:rFonts w:asciiTheme="majorHAnsi" w:hAnsiTheme="majorHAnsi" w:cs="AdvP6EC0"/>
          <w:lang w:val="en-US"/>
        </w:rPr>
        <w:t>2004</w:t>
      </w:r>
      <w:r>
        <w:rPr>
          <w:rFonts w:asciiTheme="majorHAnsi" w:hAnsiTheme="majorHAnsi" w:cs="AdvP6EC0"/>
          <w:lang w:val="en-US"/>
        </w:rPr>
        <w:t> ;</w:t>
      </w:r>
      <w:r w:rsidRPr="002A564E">
        <w:rPr>
          <w:rFonts w:asciiTheme="majorHAnsi" w:hAnsiTheme="majorHAnsi" w:cs="AdvP6EC0"/>
          <w:lang w:val="en-US"/>
        </w:rPr>
        <w:t>86</w:t>
      </w:r>
      <w:r>
        <w:rPr>
          <w:rFonts w:asciiTheme="majorHAnsi" w:hAnsiTheme="majorHAnsi" w:cs="AdvP6EC0"/>
          <w:lang w:val="en-US"/>
        </w:rPr>
        <w:t xml:space="preserve">— </w:t>
      </w:r>
      <w:r w:rsidRPr="002A564E">
        <w:rPr>
          <w:rFonts w:asciiTheme="majorHAnsi" w:hAnsiTheme="majorHAnsi" w:cs="AdvP6EC0"/>
          <w:lang w:val="en-US"/>
        </w:rPr>
        <w:t>A:538</w:t>
      </w:r>
      <w:r w:rsidRPr="002A564E">
        <w:rPr>
          <w:rFonts w:asciiTheme="majorHAnsi" w:hAnsiTheme="majorHAnsi" w:cs="AdvPS44A44B"/>
          <w:lang w:val="en-US"/>
        </w:rPr>
        <w:t>-</w:t>
      </w:r>
      <w:r w:rsidRPr="002A564E">
        <w:rPr>
          <w:rFonts w:asciiTheme="majorHAnsi" w:hAnsiTheme="majorHAnsi" w:cs="AdvP6EC0"/>
          <w:lang w:val="en-US"/>
        </w:rPr>
        <w:t>45.</w:t>
      </w:r>
    </w:p>
    <w:p w14:paraId="30C27C24" w14:textId="77777777" w:rsidR="00CE63EE" w:rsidRPr="002A564E" w:rsidRDefault="00CE63EE" w:rsidP="00CE63EE">
      <w:pPr>
        <w:autoSpaceDE w:val="0"/>
        <w:autoSpaceDN w:val="0"/>
        <w:adjustRightInd w:val="0"/>
        <w:rPr>
          <w:rFonts w:asciiTheme="majorHAnsi" w:hAnsiTheme="majorHAnsi" w:cs="AdvP6EC0"/>
          <w:lang w:val="en-US"/>
        </w:rPr>
      </w:pPr>
    </w:p>
    <w:p w14:paraId="30214CA4" w14:textId="77777777" w:rsidR="00CE63EE" w:rsidRDefault="00CE63EE" w:rsidP="00CE63EE">
      <w:pPr>
        <w:autoSpaceDE w:val="0"/>
        <w:autoSpaceDN w:val="0"/>
        <w:adjustRightInd w:val="0"/>
        <w:rPr>
          <w:rFonts w:asciiTheme="majorHAnsi" w:hAnsiTheme="majorHAnsi" w:cs="AdvP6EC0"/>
          <w:lang w:val="en-US"/>
        </w:rPr>
      </w:pPr>
      <w:r>
        <w:rPr>
          <w:rFonts w:asciiTheme="majorHAnsi" w:hAnsiTheme="majorHAnsi" w:cs="AdvOT0231c847"/>
          <w:lang w:val="en-US"/>
        </w:rPr>
        <w:t xml:space="preserve">15. </w:t>
      </w:r>
      <w:r w:rsidRPr="002A564E">
        <w:rPr>
          <w:rFonts w:asciiTheme="majorHAnsi" w:hAnsiTheme="majorHAnsi" w:cs="AdvP6EC0"/>
          <w:lang w:val="en-US"/>
        </w:rPr>
        <w:t>Arrich J, Piribauer F,</w:t>
      </w:r>
      <w:r>
        <w:rPr>
          <w:rFonts w:asciiTheme="majorHAnsi" w:hAnsiTheme="majorHAnsi" w:cs="AdvP6EC0"/>
          <w:lang w:val="en-US"/>
        </w:rPr>
        <w:t xml:space="preserve"> Mad P, Schmid D, Klaushofer K, Mü</w:t>
      </w:r>
      <w:r w:rsidRPr="002A564E">
        <w:rPr>
          <w:rFonts w:asciiTheme="majorHAnsi" w:hAnsiTheme="majorHAnsi" w:cs="AdvP6EC0"/>
          <w:lang w:val="en-US"/>
        </w:rPr>
        <w:t>llner M. Intra-articular hy</w:t>
      </w:r>
      <w:r>
        <w:rPr>
          <w:rFonts w:asciiTheme="majorHAnsi" w:hAnsiTheme="majorHAnsi" w:cs="AdvP6EC0"/>
          <w:lang w:val="en-US"/>
        </w:rPr>
        <w:t xml:space="preserve">aluronic acid for the treatment </w:t>
      </w:r>
      <w:r w:rsidRPr="002A564E">
        <w:rPr>
          <w:rFonts w:asciiTheme="majorHAnsi" w:hAnsiTheme="majorHAnsi" w:cs="AdvP6EC0"/>
          <w:lang w:val="en-US"/>
        </w:rPr>
        <w:t>of osteoarthritis</w:t>
      </w:r>
      <w:r>
        <w:rPr>
          <w:rFonts w:asciiTheme="majorHAnsi" w:hAnsiTheme="majorHAnsi" w:cs="AdvP6EC0"/>
          <w:lang w:val="en-US"/>
        </w:rPr>
        <w:t xml:space="preserve"> of the knee: systematic review and meta-analysis. </w:t>
      </w:r>
      <w:r w:rsidRPr="002A564E">
        <w:rPr>
          <w:rFonts w:asciiTheme="majorHAnsi" w:hAnsiTheme="majorHAnsi" w:cs="AdvP6EC0"/>
          <w:lang w:val="en-US"/>
        </w:rPr>
        <w:t>CMAJ</w:t>
      </w:r>
      <w:r>
        <w:rPr>
          <w:rFonts w:asciiTheme="majorHAnsi" w:hAnsiTheme="majorHAnsi" w:cs="AdvP6EC0"/>
          <w:lang w:val="en-US"/>
        </w:rPr>
        <w:t> </w:t>
      </w:r>
      <w:r w:rsidRPr="002A564E">
        <w:rPr>
          <w:rFonts w:asciiTheme="majorHAnsi" w:hAnsiTheme="majorHAnsi" w:cs="AdvP6EC0"/>
          <w:lang w:val="en-US"/>
        </w:rPr>
        <w:t>2005</w:t>
      </w:r>
      <w:r>
        <w:rPr>
          <w:rFonts w:asciiTheme="majorHAnsi" w:hAnsiTheme="majorHAnsi" w:cs="AdvP6EC0"/>
          <w:lang w:val="en-US"/>
        </w:rPr>
        <w:t> ;</w:t>
      </w:r>
      <w:r w:rsidRPr="002A564E">
        <w:rPr>
          <w:rFonts w:asciiTheme="majorHAnsi" w:hAnsiTheme="majorHAnsi" w:cs="AdvP6EC0"/>
          <w:lang w:val="en-US"/>
        </w:rPr>
        <w:t>172:1039</w:t>
      </w:r>
      <w:r>
        <w:rPr>
          <w:rFonts w:asciiTheme="majorHAnsi" w:hAnsiTheme="majorHAnsi" w:cs="AdvPS44A44B"/>
          <w:lang w:val="en-US"/>
        </w:rPr>
        <w:t>-</w:t>
      </w:r>
      <w:r w:rsidRPr="002A564E">
        <w:rPr>
          <w:rFonts w:asciiTheme="majorHAnsi" w:hAnsiTheme="majorHAnsi" w:cs="AdvP6EC0"/>
          <w:lang w:val="en-US"/>
        </w:rPr>
        <w:t>43.</w:t>
      </w:r>
    </w:p>
    <w:p w14:paraId="08860812" w14:textId="77777777" w:rsidR="00CE63EE" w:rsidRDefault="00CE63EE" w:rsidP="00CE63EE">
      <w:pPr>
        <w:autoSpaceDE w:val="0"/>
        <w:autoSpaceDN w:val="0"/>
        <w:adjustRightInd w:val="0"/>
        <w:rPr>
          <w:rFonts w:asciiTheme="majorHAnsi" w:hAnsiTheme="majorHAnsi" w:cs="AdvP6EC0"/>
          <w:lang w:val="en-US"/>
        </w:rPr>
      </w:pPr>
    </w:p>
    <w:p w14:paraId="18F061E0" w14:textId="77777777" w:rsidR="00CE63EE" w:rsidRDefault="00CE63EE" w:rsidP="00CE63EE">
      <w:pPr>
        <w:autoSpaceDE w:val="0"/>
        <w:autoSpaceDN w:val="0"/>
        <w:adjustRightInd w:val="0"/>
        <w:rPr>
          <w:rFonts w:asciiTheme="majorHAnsi" w:hAnsiTheme="majorHAnsi" w:cs="AdvP6EC0"/>
          <w:lang w:val="en-US"/>
        </w:rPr>
      </w:pPr>
      <w:r>
        <w:rPr>
          <w:rFonts w:asciiTheme="majorHAnsi" w:hAnsiTheme="majorHAnsi" w:cs="AdvP6EC0"/>
          <w:lang w:val="en-US"/>
        </w:rPr>
        <w:t xml:space="preserve">16. </w:t>
      </w:r>
      <w:r w:rsidRPr="002A564E">
        <w:rPr>
          <w:rFonts w:asciiTheme="majorHAnsi" w:hAnsiTheme="majorHAnsi" w:cs="AdvP6EC0"/>
          <w:lang w:val="en-US"/>
        </w:rPr>
        <w:t>Modawal A, Ferrer M,</w:t>
      </w:r>
      <w:r>
        <w:rPr>
          <w:rFonts w:asciiTheme="majorHAnsi" w:hAnsiTheme="majorHAnsi" w:cs="AdvP6EC0"/>
          <w:lang w:val="en-US"/>
        </w:rPr>
        <w:t xml:space="preserve"> Choi HK, Castle JA. Hyaluronic </w:t>
      </w:r>
      <w:r w:rsidRPr="002A564E">
        <w:rPr>
          <w:rFonts w:asciiTheme="majorHAnsi" w:hAnsiTheme="majorHAnsi" w:cs="AdvP6EC0"/>
          <w:lang w:val="en-US"/>
        </w:rPr>
        <w:t xml:space="preserve">acid </w:t>
      </w:r>
      <w:r>
        <w:rPr>
          <w:rFonts w:asciiTheme="majorHAnsi" w:hAnsiTheme="majorHAnsi" w:cs="AdvP6EC0"/>
          <w:lang w:val="en-US"/>
        </w:rPr>
        <w:t>injections relieve knee pain. J Fam Pract 2005;54:</w:t>
      </w:r>
      <w:r w:rsidRPr="002A564E">
        <w:rPr>
          <w:rFonts w:asciiTheme="majorHAnsi" w:hAnsiTheme="majorHAnsi" w:cs="AdvP6EC0"/>
          <w:lang w:val="en-US"/>
        </w:rPr>
        <w:t>758</w:t>
      </w:r>
      <w:r>
        <w:rPr>
          <w:rFonts w:asciiTheme="majorHAnsi" w:hAnsiTheme="majorHAnsi" w:cs="AdvPS44A44B"/>
          <w:lang w:val="en-US"/>
        </w:rPr>
        <w:t>-</w:t>
      </w:r>
      <w:r w:rsidRPr="002A564E">
        <w:rPr>
          <w:rFonts w:asciiTheme="majorHAnsi" w:hAnsiTheme="majorHAnsi" w:cs="AdvP6EC0"/>
          <w:lang w:val="en-US"/>
        </w:rPr>
        <w:t>67.</w:t>
      </w:r>
    </w:p>
    <w:p w14:paraId="58E77EDA" w14:textId="77777777" w:rsidR="00CE63EE" w:rsidRDefault="00CE63EE" w:rsidP="00CE63EE">
      <w:pPr>
        <w:autoSpaceDE w:val="0"/>
        <w:autoSpaceDN w:val="0"/>
        <w:adjustRightInd w:val="0"/>
        <w:rPr>
          <w:rFonts w:asciiTheme="majorHAnsi" w:hAnsiTheme="majorHAnsi" w:cs="AdvP6EC0"/>
          <w:lang w:val="en-US"/>
        </w:rPr>
      </w:pPr>
    </w:p>
    <w:p w14:paraId="43FA5F0A" w14:textId="77777777" w:rsidR="00CE63EE" w:rsidRPr="002A564E" w:rsidRDefault="00CE63EE" w:rsidP="00CE63EE">
      <w:pPr>
        <w:autoSpaceDE w:val="0"/>
        <w:autoSpaceDN w:val="0"/>
        <w:adjustRightInd w:val="0"/>
        <w:rPr>
          <w:rFonts w:asciiTheme="majorHAnsi" w:hAnsiTheme="majorHAnsi" w:cs="AdvP6EC0"/>
          <w:lang w:val="en-US"/>
        </w:rPr>
      </w:pPr>
      <w:r w:rsidRPr="00F03BB4">
        <w:rPr>
          <w:rFonts w:asciiTheme="majorHAnsi" w:hAnsiTheme="majorHAnsi" w:cs="AdvP6EC0"/>
          <w:lang w:val="en-US"/>
        </w:rPr>
        <w:t xml:space="preserve">17. Bellamy N, Campbell J, Robinson V, Gee T, Bourne R, </w:t>
      </w:r>
      <w:r w:rsidRPr="002A564E">
        <w:rPr>
          <w:rFonts w:asciiTheme="majorHAnsi" w:hAnsiTheme="majorHAnsi" w:cs="AdvP6EC0"/>
          <w:lang w:val="en-US"/>
        </w:rPr>
        <w:t>We</w:t>
      </w:r>
      <w:r>
        <w:rPr>
          <w:rFonts w:asciiTheme="majorHAnsi" w:hAnsiTheme="majorHAnsi" w:cs="AdvP6EC0"/>
          <w:lang w:val="en-US"/>
        </w:rPr>
        <w:t xml:space="preserve">lls G. Viscosupplementation for </w:t>
      </w:r>
      <w:r w:rsidRPr="002A564E">
        <w:rPr>
          <w:rFonts w:asciiTheme="majorHAnsi" w:hAnsiTheme="majorHAnsi" w:cs="AdvP6EC0"/>
          <w:lang w:val="en-US"/>
        </w:rPr>
        <w:t>the treatment of osteoarthritis</w:t>
      </w:r>
      <w:r>
        <w:rPr>
          <w:rFonts w:asciiTheme="majorHAnsi" w:hAnsiTheme="majorHAnsi" w:cs="AdvP6EC0"/>
          <w:lang w:val="en-US"/>
        </w:rPr>
        <w:t xml:space="preserve"> </w:t>
      </w:r>
      <w:r w:rsidRPr="002A564E">
        <w:rPr>
          <w:rFonts w:asciiTheme="majorHAnsi" w:hAnsiTheme="majorHAnsi" w:cs="AdvP6EC0"/>
          <w:lang w:val="en-US"/>
        </w:rPr>
        <w:t>of the</w:t>
      </w:r>
      <w:r>
        <w:rPr>
          <w:rFonts w:asciiTheme="majorHAnsi" w:hAnsiTheme="majorHAnsi" w:cs="AdvP6EC0"/>
          <w:lang w:val="en-US"/>
        </w:rPr>
        <w:t xml:space="preserve"> knee. The Cochrane Database of </w:t>
      </w:r>
      <w:r w:rsidRPr="002A564E">
        <w:rPr>
          <w:rFonts w:asciiTheme="majorHAnsi" w:hAnsiTheme="majorHAnsi" w:cs="AdvP6EC0"/>
          <w:lang w:val="en-US"/>
        </w:rPr>
        <w:t>Systematic R</w:t>
      </w:r>
      <w:r>
        <w:rPr>
          <w:rFonts w:asciiTheme="majorHAnsi" w:hAnsiTheme="majorHAnsi" w:cs="AdvP6EC0"/>
          <w:lang w:val="en-US"/>
        </w:rPr>
        <w:t>eviews 2006, Issue 2. Art. No.:</w:t>
      </w:r>
      <w:r w:rsidRPr="002A564E">
        <w:rPr>
          <w:rFonts w:asciiTheme="majorHAnsi" w:hAnsiTheme="majorHAnsi" w:cs="AdvP6EC0"/>
          <w:lang w:val="en-US"/>
        </w:rPr>
        <w:t xml:space="preserve">CD005321.pub2. </w:t>
      </w:r>
      <w:r>
        <w:rPr>
          <w:rFonts w:asciiTheme="majorHAnsi" w:hAnsiTheme="majorHAnsi" w:cs="AdvP6EC0"/>
          <w:lang w:val="en-US"/>
        </w:rPr>
        <w:t>DOI : 10.1002/14651858.CD005321.</w:t>
      </w:r>
      <w:r w:rsidRPr="002A564E">
        <w:rPr>
          <w:rFonts w:asciiTheme="majorHAnsi" w:hAnsiTheme="majorHAnsi" w:cs="AdvP6EC0"/>
          <w:lang w:val="en-US"/>
        </w:rPr>
        <w:t>pub2.</w:t>
      </w:r>
    </w:p>
    <w:p w14:paraId="771CE769" w14:textId="77777777" w:rsidR="00CE63EE" w:rsidRPr="002A564E" w:rsidRDefault="00CE63EE" w:rsidP="00CE63EE">
      <w:pPr>
        <w:autoSpaceDE w:val="0"/>
        <w:autoSpaceDN w:val="0"/>
        <w:adjustRightInd w:val="0"/>
        <w:rPr>
          <w:rFonts w:asciiTheme="majorHAnsi" w:hAnsiTheme="majorHAnsi" w:cs="AdvP6EC0"/>
          <w:lang w:val="en-US"/>
        </w:rPr>
      </w:pPr>
    </w:p>
    <w:p w14:paraId="2AE68CC0" w14:textId="77777777" w:rsidR="00CE63EE" w:rsidRDefault="00CE63EE" w:rsidP="00CE63EE">
      <w:pPr>
        <w:autoSpaceDE w:val="0"/>
        <w:autoSpaceDN w:val="0"/>
        <w:adjustRightInd w:val="0"/>
        <w:rPr>
          <w:rFonts w:asciiTheme="majorHAnsi" w:hAnsiTheme="majorHAnsi" w:cs="AdvP6EC0"/>
          <w:lang w:val="en-US"/>
        </w:rPr>
      </w:pPr>
      <w:r>
        <w:rPr>
          <w:rFonts w:asciiTheme="majorHAnsi" w:hAnsiTheme="majorHAnsi" w:cs="AdvP6EC0"/>
          <w:lang w:val="en-US"/>
        </w:rPr>
        <w:t>18</w:t>
      </w:r>
      <w:r w:rsidRPr="002A564E">
        <w:rPr>
          <w:rFonts w:asciiTheme="majorHAnsi" w:hAnsiTheme="majorHAnsi" w:cs="AdvP6EC0"/>
          <w:lang w:val="en-US"/>
        </w:rPr>
        <w:t>. Medina JM, Thomas A, D</w:t>
      </w:r>
      <w:r>
        <w:rPr>
          <w:rFonts w:asciiTheme="majorHAnsi" w:hAnsiTheme="majorHAnsi" w:cs="AdvP6EC0"/>
          <w:lang w:val="en-US"/>
        </w:rPr>
        <w:t xml:space="preserve">enegar CR. Knee osteoarthritis: </w:t>
      </w:r>
      <w:r w:rsidRPr="002A564E">
        <w:rPr>
          <w:rFonts w:asciiTheme="majorHAnsi" w:hAnsiTheme="majorHAnsi" w:cs="AdvP6EC0"/>
          <w:lang w:val="en-US"/>
        </w:rPr>
        <w:t xml:space="preserve">should your patient opt for hyaluronic acid </w:t>
      </w:r>
      <w:r>
        <w:rPr>
          <w:rFonts w:asciiTheme="majorHAnsi" w:hAnsiTheme="majorHAnsi" w:cs="AdvP6EC0"/>
          <w:lang w:val="en-US"/>
        </w:rPr>
        <w:t xml:space="preserve">injection? </w:t>
      </w:r>
      <w:r w:rsidRPr="002A564E">
        <w:rPr>
          <w:rFonts w:asciiTheme="majorHAnsi" w:hAnsiTheme="majorHAnsi" w:cs="AdvP6EC0"/>
          <w:lang w:val="en-US"/>
        </w:rPr>
        <w:t>A meta-analysis o</w:t>
      </w:r>
      <w:r>
        <w:rPr>
          <w:rFonts w:asciiTheme="majorHAnsi" w:hAnsiTheme="majorHAnsi" w:cs="AdvP6EC0"/>
          <w:lang w:val="en-US"/>
        </w:rPr>
        <w:t xml:space="preserve">f randomized controlled trials. </w:t>
      </w:r>
      <w:r w:rsidRPr="002A564E">
        <w:rPr>
          <w:rFonts w:asciiTheme="majorHAnsi" w:hAnsiTheme="majorHAnsi" w:cs="AdvP6EC0"/>
          <w:lang w:val="en-US"/>
        </w:rPr>
        <w:t>J Fam Pract 2006;55(8)</w:t>
      </w:r>
      <w:r>
        <w:rPr>
          <w:rFonts w:asciiTheme="majorHAnsi" w:hAnsiTheme="majorHAnsi" w:cs="AdvP6EC0"/>
          <w:lang w:val="en-US"/>
        </w:rPr>
        <w:t xml:space="preserve"> : </w:t>
      </w:r>
      <w:r w:rsidRPr="002A564E">
        <w:rPr>
          <w:rFonts w:asciiTheme="majorHAnsi" w:hAnsiTheme="majorHAnsi" w:cs="AdvP6EC0"/>
          <w:lang w:val="en-US"/>
        </w:rPr>
        <w:t>669</w:t>
      </w:r>
      <w:r>
        <w:rPr>
          <w:rFonts w:asciiTheme="majorHAnsi" w:hAnsiTheme="majorHAnsi" w:cs="AdvPS44A44B"/>
          <w:lang w:val="en-US"/>
        </w:rPr>
        <w:t>-</w:t>
      </w:r>
      <w:r>
        <w:rPr>
          <w:rFonts w:asciiTheme="majorHAnsi" w:hAnsiTheme="majorHAnsi" w:cs="AdvP6EC0"/>
          <w:lang w:val="en-US"/>
        </w:rPr>
        <w:t>75.</w:t>
      </w:r>
    </w:p>
    <w:p w14:paraId="69B260EA" w14:textId="77777777" w:rsidR="00CE63EE" w:rsidRDefault="00CE63EE" w:rsidP="00CE63EE">
      <w:pPr>
        <w:autoSpaceDE w:val="0"/>
        <w:autoSpaceDN w:val="0"/>
        <w:adjustRightInd w:val="0"/>
        <w:rPr>
          <w:rFonts w:asciiTheme="majorHAnsi" w:hAnsiTheme="majorHAnsi" w:cs="AdvP6EC0"/>
          <w:lang w:val="en-US"/>
        </w:rPr>
      </w:pPr>
    </w:p>
    <w:p w14:paraId="7B3CCF90" w14:textId="77777777" w:rsidR="00CE63EE" w:rsidRPr="00E55C63" w:rsidRDefault="00CE63EE" w:rsidP="00CE63EE">
      <w:pPr>
        <w:shd w:val="clear" w:color="auto" w:fill="FFFFFF"/>
        <w:rPr>
          <w:rFonts w:asciiTheme="majorHAnsi" w:eastAsia="Times New Roman" w:hAnsiTheme="majorHAnsi" w:cs="Arial"/>
          <w:lang w:val="en-US"/>
        </w:rPr>
      </w:pPr>
      <w:r w:rsidRPr="00E55C63">
        <w:rPr>
          <w:rFonts w:asciiTheme="majorHAnsi" w:hAnsiTheme="majorHAnsi" w:cs="AdvP6EC0"/>
          <w:lang w:val="en-US"/>
        </w:rPr>
        <w:t xml:space="preserve">19. </w:t>
      </w:r>
      <w:r w:rsidRPr="00E55C63">
        <w:rPr>
          <w:rFonts w:asciiTheme="majorHAnsi" w:eastAsia="Times New Roman" w:hAnsiTheme="majorHAnsi" w:cs="Arial"/>
          <w:lang w:val="en-US"/>
        </w:rPr>
        <w:t xml:space="preserve">Reichenbach S, Blank S, Rutjes AW, et al. </w:t>
      </w:r>
      <w:hyperlink r:id="rId16" w:history="1">
        <w:r w:rsidRPr="00E55C63">
          <w:rPr>
            <w:rFonts w:asciiTheme="majorHAnsi" w:eastAsia="Times New Roman" w:hAnsiTheme="majorHAnsi" w:cs="Arial"/>
            <w:lang w:val="en-US"/>
          </w:rPr>
          <w:t xml:space="preserve">Hylan versus </w:t>
        </w:r>
        <w:r w:rsidRPr="00E55C63">
          <w:rPr>
            <w:rFonts w:asciiTheme="majorHAnsi" w:eastAsia="Times New Roman" w:hAnsiTheme="majorHAnsi" w:cs="Arial"/>
            <w:bCs/>
            <w:lang w:val="en-US"/>
          </w:rPr>
          <w:t>hyaluronic acid</w:t>
        </w:r>
        <w:r w:rsidRPr="00E55C63">
          <w:rPr>
            <w:rFonts w:asciiTheme="majorHAnsi" w:eastAsia="Times New Roman" w:hAnsiTheme="majorHAnsi" w:cs="Arial"/>
            <w:lang w:val="en-US"/>
          </w:rPr>
          <w:t xml:space="preserve"> for </w:t>
        </w:r>
        <w:r w:rsidRPr="00E55C63">
          <w:rPr>
            <w:rFonts w:asciiTheme="majorHAnsi" w:eastAsia="Times New Roman" w:hAnsiTheme="majorHAnsi" w:cs="Arial"/>
            <w:bCs/>
            <w:lang w:val="en-US"/>
          </w:rPr>
          <w:t>osteoarthritis</w:t>
        </w:r>
        <w:r w:rsidRPr="00E55C63">
          <w:rPr>
            <w:rFonts w:asciiTheme="majorHAnsi" w:eastAsia="Times New Roman" w:hAnsiTheme="majorHAnsi" w:cs="Arial"/>
            <w:lang w:val="en-US"/>
          </w:rPr>
          <w:t xml:space="preserve"> of the </w:t>
        </w:r>
        <w:r w:rsidRPr="00E55C63">
          <w:rPr>
            <w:rFonts w:asciiTheme="majorHAnsi" w:eastAsia="Times New Roman" w:hAnsiTheme="majorHAnsi" w:cs="Arial"/>
            <w:bCs/>
            <w:lang w:val="en-US"/>
          </w:rPr>
          <w:t>knee</w:t>
        </w:r>
        <w:r w:rsidRPr="00E55C63">
          <w:rPr>
            <w:rFonts w:asciiTheme="majorHAnsi" w:eastAsia="Times New Roman" w:hAnsiTheme="majorHAnsi" w:cs="Arial"/>
            <w:lang w:val="en-US"/>
          </w:rPr>
          <w:t xml:space="preserve">: a systematic review and </w:t>
        </w:r>
        <w:r w:rsidRPr="00E55C63">
          <w:rPr>
            <w:rFonts w:asciiTheme="majorHAnsi" w:eastAsia="Times New Roman" w:hAnsiTheme="majorHAnsi" w:cs="Arial"/>
            <w:bCs/>
            <w:lang w:val="en-US"/>
          </w:rPr>
          <w:t>meta-analysis</w:t>
        </w:r>
        <w:r w:rsidRPr="00E55C63">
          <w:rPr>
            <w:rFonts w:asciiTheme="majorHAnsi" w:eastAsia="Times New Roman" w:hAnsiTheme="majorHAnsi" w:cs="Arial"/>
            <w:lang w:val="en-US"/>
          </w:rPr>
          <w:t>.</w:t>
        </w:r>
      </w:hyperlink>
      <w:r w:rsidRPr="00E55C63">
        <w:rPr>
          <w:rFonts w:asciiTheme="majorHAnsi" w:eastAsia="Times New Roman" w:hAnsiTheme="majorHAnsi" w:cs="Arial"/>
          <w:lang w:val="en-US"/>
        </w:rPr>
        <w:t xml:space="preserve"> Arthritis Rheum. 2007</w:t>
      </w:r>
      <w:r>
        <w:rPr>
          <w:rFonts w:asciiTheme="majorHAnsi" w:eastAsia="Times New Roman" w:hAnsiTheme="majorHAnsi" w:cs="Arial"/>
          <w:lang w:val="en-US"/>
        </w:rPr>
        <w:t> ;</w:t>
      </w:r>
      <w:r w:rsidRPr="00E55C63">
        <w:rPr>
          <w:rFonts w:asciiTheme="majorHAnsi" w:eastAsia="Times New Roman" w:hAnsiTheme="majorHAnsi" w:cs="Arial"/>
          <w:lang w:val="en-US"/>
        </w:rPr>
        <w:t>57:1410-8.</w:t>
      </w:r>
    </w:p>
    <w:p w14:paraId="66F3D05B" w14:textId="77777777" w:rsidR="00CE63EE" w:rsidRDefault="00CE63EE" w:rsidP="00CE63EE">
      <w:pPr>
        <w:autoSpaceDE w:val="0"/>
        <w:autoSpaceDN w:val="0"/>
        <w:adjustRightInd w:val="0"/>
        <w:rPr>
          <w:rFonts w:asciiTheme="majorHAnsi" w:hAnsiTheme="majorHAnsi" w:cs="AdvP6EC0"/>
          <w:lang w:val="en-US"/>
        </w:rPr>
      </w:pPr>
    </w:p>
    <w:p w14:paraId="328D1571" w14:textId="77777777" w:rsidR="00CE63EE" w:rsidRPr="00E55C63" w:rsidRDefault="00CE63EE" w:rsidP="00CE63EE">
      <w:pPr>
        <w:shd w:val="clear" w:color="auto" w:fill="FFFFFF"/>
        <w:rPr>
          <w:rFonts w:asciiTheme="majorHAnsi" w:eastAsia="Times New Roman" w:hAnsiTheme="majorHAnsi" w:cs="Arial"/>
          <w:lang w:val="en-US"/>
        </w:rPr>
      </w:pPr>
      <w:r w:rsidRPr="00E55C63">
        <w:rPr>
          <w:rFonts w:asciiTheme="majorHAnsi" w:hAnsiTheme="majorHAnsi" w:cs="AdvP6EC0"/>
          <w:lang w:val="en-US"/>
        </w:rPr>
        <w:t xml:space="preserve">20. </w:t>
      </w:r>
      <w:r w:rsidRPr="00E55C63">
        <w:rPr>
          <w:rFonts w:asciiTheme="majorHAnsi" w:eastAsia="Times New Roman" w:hAnsiTheme="majorHAnsi" w:cs="Arial"/>
          <w:lang w:val="en-US"/>
        </w:rPr>
        <w:t xml:space="preserve">Bannuru RR, Natov NS, Dasi UR, Schmid CH, McAlindon TE. </w:t>
      </w:r>
      <w:hyperlink r:id="rId17" w:history="1">
        <w:r w:rsidRPr="00E55C63">
          <w:rPr>
            <w:rFonts w:asciiTheme="majorHAnsi" w:eastAsia="Times New Roman" w:hAnsiTheme="majorHAnsi" w:cs="Arial"/>
            <w:lang w:val="en-US"/>
          </w:rPr>
          <w:t xml:space="preserve">Therapeutic trajectory following intra-articular </w:t>
        </w:r>
        <w:r w:rsidRPr="00E55C63">
          <w:rPr>
            <w:rFonts w:asciiTheme="majorHAnsi" w:eastAsia="Times New Roman" w:hAnsiTheme="majorHAnsi" w:cs="Arial"/>
            <w:bCs/>
            <w:lang w:val="en-US"/>
          </w:rPr>
          <w:t>hyaluronic acid</w:t>
        </w:r>
        <w:r w:rsidRPr="00E55C63">
          <w:rPr>
            <w:rFonts w:asciiTheme="majorHAnsi" w:eastAsia="Times New Roman" w:hAnsiTheme="majorHAnsi" w:cs="Arial"/>
            <w:lang w:val="en-US"/>
          </w:rPr>
          <w:t xml:space="preserve"> injection in </w:t>
        </w:r>
        <w:r w:rsidRPr="00E55C63">
          <w:rPr>
            <w:rFonts w:asciiTheme="majorHAnsi" w:eastAsia="Times New Roman" w:hAnsiTheme="majorHAnsi" w:cs="Arial"/>
            <w:bCs/>
            <w:lang w:val="en-US"/>
          </w:rPr>
          <w:t>knee osteoarthritis</w:t>
        </w:r>
        <w:r w:rsidRPr="00E55C63">
          <w:rPr>
            <w:rFonts w:asciiTheme="majorHAnsi" w:eastAsia="Times New Roman" w:hAnsiTheme="majorHAnsi" w:cs="Arial"/>
            <w:lang w:val="en-US"/>
          </w:rPr>
          <w:t>--</w:t>
        </w:r>
        <w:r w:rsidRPr="00E55C63">
          <w:rPr>
            <w:rFonts w:asciiTheme="majorHAnsi" w:eastAsia="Times New Roman" w:hAnsiTheme="majorHAnsi" w:cs="Arial"/>
            <w:bCs/>
            <w:lang w:val="en-US"/>
          </w:rPr>
          <w:t>meta-analysis</w:t>
        </w:r>
        <w:r w:rsidRPr="00E55C63">
          <w:rPr>
            <w:rFonts w:asciiTheme="majorHAnsi" w:eastAsia="Times New Roman" w:hAnsiTheme="majorHAnsi" w:cs="Arial"/>
            <w:lang w:val="en-US"/>
          </w:rPr>
          <w:t>.</w:t>
        </w:r>
      </w:hyperlink>
      <w:r w:rsidRPr="00E55C63">
        <w:rPr>
          <w:rFonts w:asciiTheme="majorHAnsi" w:eastAsia="Times New Roman" w:hAnsiTheme="majorHAnsi" w:cs="Arial"/>
          <w:lang w:val="en-US"/>
        </w:rPr>
        <w:t xml:space="preserve"> </w:t>
      </w:r>
      <w:r w:rsidRPr="00E55C63">
        <w:rPr>
          <w:rFonts w:asciiTheme="majorHAnsi" w:eastAsia="Times New Roman" w:hAnsiTheme="majorHAnsi" w:cs="Arial"/>
          <w:bCs/>
          <w:lang w:val="en-US"/>
        </w:rPr>
        <w:t>Osteoarthritis</w:t>
      </w:r>
      <w:r w:rsidRPr="00E55C63">
        <w:rPr>
          <w:rFonts w:asciiTheme="majorHAnsi" w:eastAsia="Times New Roman" w:hAnsiTheme="majorHAnsi" w:cs="Arial"/>
          <w:lang w:val="en-US"/>
        </w:rPr>
        <w:t xml:space="preserve"> Cartil. 2011</w:t>
      </w:r>
      <w:r>
        <w:rPr>
          <w:rFonts w:asciiTheme="majorHAnsi" w:eastAsia="Times New Roman" w:hAnsiTheme="majorHAnsi" w:cs="Arial"/>
          <w:lang w:val="en-US"/>
        </w:rPr>
        <w:t> </w:t>
      </w:r>
      <w:r w:rsidRPr="00E55C63">
        <w:rPr>
          <w:rFonts w:asciiTheme="majorHAnsi" w:eastAsia="Times New Roman" w:hAnsiTheme="majorHAnsi" w:cs="Arial"/>
          <w:lang w:val="en-US"/>
        </w:rPr>
        <w:t xml:space="preserve">;19:611-9. </w:t>
      </w:r>
    </w:p>
    <w:p w14:paraId="697C567B" w14:textId="77777777" w:rsidR="00CE63EE" w:rsidRPr="00E55C63" w:rsidRDefault="00CE63EE" w:rsidP="00CE63EE">
      <w:pPr>
        <w:autoSpaceDE w:val="0"/>
        <w:autoSpaceDN w:val="0"/>
        <w:adjustRightInd w:val="0"/>
        <w:rPr>
          <w:rFonts w:asciiTheme="majorHAnsi" w:hAnsiTheme="majorHAnsi" w:cs="AdvP6EC0"/>
          <w:lang w:val="en-US"/>
        </w:rPr>
      </w:pPr>
    </w:p>
    <w:p w14:paraId="620EA2FE" w14:textId="77777777" w:rsidR="00CE63EE" w:rsidRPr="00E55C63" w:rsidRDefault="00CE63EE" w:rsidP="00CE63EE">
      <w:pPr>
        <w:shd w:val="clear" w:color="auto" w:fill="FFFFFF"/>
        <w:rPr>
          <w:rFonts w:asciiTheme="majorHAnsi" w:eastAsia="Times New Roman" w:hAnsiTheme="majorHAnsi" w:cs="Arial"/>
          <w:lang w:val="en-US"/>
        </w:rPr>
      </w:pPr>
      <w:r w:rsidRPr="00E55C63">
        <w:rPr>
          <w:rFonts w:asciiTheme="majorHAnsi" w:hAnsiTheme="majorHAnsi" w:cs="AdvP6EC0"/>
          <w:lang w:val="en-US"/>
        </w:rPr>
        <w:t xml:space="preserve">21. </w:t>
      </w:r>
      <w:r w:rsidRPr="00E55C63">
        <w:rPr>
          <w:rFonts w:asciiTheme="majorHAnsi" w:eastAsia="Times New Roman" w:hAnsiTheme="majorHAnsi" w:cs="Arial"/>
          <w:lang w:val="en-US"/>
        </w:rPr>
        <w:t xml:space="preserve">Colen S, van den Bekerom MP, Mulier M, Haverkamp D. </w:t>
      </w:r>
      <w:hyperlink r:id="rId18" w:history="1">
        <w:r w:rsidRPr="00E55C63">
          <w:rPr>
            <w:rFonts w:asciiTheme="majorHAnsi" w:eastAsia="Times New Roman" w:hAnsiTheme="majorHAnsi" w:cs="Arial"/>
            <w:bCs/>
            <w:lang w:val="en-US"/>
          </w:rPr>
          <w:t>Hyaluronic acid</w:t>
        </w:r>
        <w:r w:rsidRPr="00E55C63">
          <w:rPr>
            <w:rFonts w:asciiTheme="majorHAnsi" w:eastAsia="Times New Roman" w:hAnsiTheme="majorHAnsi" w:cs="Arial"/>
            <w:lang w:val="en-US"/>
          </w:rPr>
          <w:t xml:space="preserve"> in the treatment of </w:t>
        </w:r>
        <w:r w:rsidRPr="00E55C63">
          <w:rPr>
            <w:rFonts w:asciiTheme="majorHAnsi" w:eastAsia="Times New Roman" w:hAnsiTheme="majorHAnsi" w:cs="Arial"/>
            <w:bCs/>
            <w:lang w:val="en-US"/>
          </w:rPr>
          <w:t>knee osteoarthritis</w:t>
        </w:r>
        <w:r w:rsidRPr="00E55C63">
          <w:rPr>
            <w:rFonts w:asciiTheme="majorHAnsi" w:eastAsia="Times New Roman" w:hAnsiTheme="majorHAnsi" w:cs="Arial"/>
            <w:lang w:val="en-US"/>
          </w:rPr>
          <w:t xml:space="preserve">: a systematic review and </w:t>
        </w:r>
        <w:r w:rsidRPr="00E55C63">
          <w:rPr>
            <w:rFonts w:asciiTheme="majorHAnsi" w:eastAsia="Times New Roman" w:hAnsiTheme="majorHAnsi" w:cs="Arial"/>
            <w:bCs/>
            <w:lang w:val="en-US"/>
          </w:rPr>
          <w:t>meta-analysis</w:t>
        </w:r>
        <w:r w:rsidRPr="00E55C63">
          <w:rPr>
            <w:rFonts w:asciiTheme="majorHAnsi" w:eastAsia="Times New Roman" w:hAnsiTheme="majorHAnsi" w:cs="Arial"/>
            <w:lang w:val="en-US"/>
          </w:rPr>
          <w:t xml:space="preserve"> with emphasis on the efficacy of different products.</w:t>
        </w:r>
      </w:hyperlink>
      <w:r w:rsidRPr="00E55C63">
        <w:rPr>
          <w:rFonts w:asciiTheme="majorHAnsi" w:eastAsia="Times New Roman" w:hAnsiTheme="majorHAnsi" w:cs="Arial"/>
          <w:lang w:val="en-US"/>
        </w:rPr>
        <w:t xml:space="preserve"> BioDrugs</w:t>
      </w:r>
      <w:r>
        <w:rPr>
          <w:rFonts w:asciiTheme="majorHAnsi" w:eastAsia="Times New Roman" w:hAnsiTheme="majorHAnsi" w:cs="Arial"/>
          <w:lang w:val="en-US"/>
        </w:rPr>
        <w:t>. 2012 ;26</w:t>
      </w:r>
      <w:r w:rsidRPr="00E55C63">
        <w:rPr>
          <w:rFonts w:asciiTheme="majorHAnsi" w:eastAsia="Times New Roman" w:hAnsiTheme="majorHAnsi" w:cs="Arial"/>
          <w:lang w:val="en-US"/>
        </w:rPr>
        <w:t>:257-68.</w:t>
      </w:r>
    </w:p>
    <w:p w14:paraId="668FE335" w14:textId="77777777" w:rsidR="00CE63EE" w:rsidRPr="00E55C63" w:rsidRDefault="00CE63EE" w:rsidP="00CE63EE">
      <w:pPr>
        <w:autoSpaceDE w:val="0"/>
        <w:autoSpaceDN w:val="0"/>
        <w:adjustRightInd w:val="0"/>
        <w:rPr>
          <w:rFonts w:asciiTheme="majorHAnsi" w:hAnsiTheme="majorHAnsi" w:cs="AdvP6EC0"/>
          <w:lang w:val="en-US"/>
        </w:rPr>
      </w:pPr>
    </w:p>
    <w:p w14:paraId="390C488A" w14:textId="77777777" w:rsidR="00CE63EE" w:rsidRPr="00E55C63" w:rsidRDefault="00CE63EE" w:rsidP="00CE63EE">
      <w:pPr>
        <w:shd w:val="clear" w:color="auto" w:fill="FFFFFF"/>
        <w:rPr>
          <w:rFonts w:asciiTheme="majorHAnsi" w:eastAsia="Times New Roman" w:hAnsiTheme="majorHAnsi" w:cs="Arial"/>
          <w:lang w:val="en-US"/>
        </w:rPr>
      </w:pPr>
      <w:r w:rsidRPr="00E55C63">
        <w:rPr>
          <w:rFonts w:asciiTheme="majorHAnsi" w:hAnsiTheme="majorHAnsi" w:cs="AdvP6EC0"/>
          <w:lang w:val="en-US"/>
        </w:rPr>
        <w:t xml:space="preserve">22. </w:t>
      </w:r>
      <w:r w:rsidRPr="00E55C63">
        <w:rPr>
          <w:rFonts w:asciiTheme="majorHAnsi" w:eastAsia="Times New Roman" w:hAnsiTheme="majorHAnsi" w:cs="Arial"/>
          <w:lang w:val="en-US"/>
        </w:rPr>
        <w:t xml:space="preserve">Rutjes AW, Jüni P, da Costa BR, Trelle S, Nüesch E, Reichenbach S. </w:t>
      </w:r>
      <w:hyperlink r:id="rId19" w:history="1">
        <w:r w:rsidRPr="00E55C63">
          <w:rPr>
            <w:rFonts w:asciiTheme="majorHAnsi" w:eastAsia="Times New Roman" w:hAnsiTheme="majorHAnsi" w:cs="Arial"/>
            <w:lang w:val="en-US"/>
          </w:rPr>
          <w:t xml:space="preserve">Viscosupplementation for </w:t>
        </w:r>
        <w:r w:rsidRPr="00E55C63">
          <w:rPr>
            <w:rFonts w:asciiTheme="majorHAnsi" w:eastAsia="Times New Roman" w:hAnsiTheme="majorHAnsi" w:cs="Arial"/>
            <w:bCs/>
            <w:lang w:val="en-US"/>
          </w:rPr>
          <w:t>osteoarthritis</w:t>
        </w:r>
        <w:r w:rsidRPr="00E55C63">
          <w:rPr>
            <w:rFonts w:asciiTheme="majorHAnsi" w:eastAsia="Times New Roman" w:hAnsiTheme="majorHAnsi" w:cs="Arial"/>
            <w:lang w:val="en-US"/>
          </w:rPr>
          <w:t xml:space="preserve"> of the </w:t>
        </w:r>
        <w:r w:rsidRPr="00E55C63">
          <w:rPr>
            <w:rFonts w:asciiTheme="majorHAnsi" w:eastAsia="Times New Roman" w:hAnsiTheme="majorHAnsi" w:cs="Arial"/>
            <w:bCs/>
            <w:lang w:val="en-US"/>
          </w:rPr>
          <w:t>knee</w:t>
        </w:r>
        <w:r w:rsidRPr="00E55C63">
          <w:rPr>
            <w:rFonts w:asciiTheme="majorHAnsi" w:eastAsia="Times New Roman" w:hAnsiTheme="majorHAnsi" w:cs="Arial"/>
            <w:lang w:val="en-US"/>
          </w:rPr>
          <w:t xml:space="preserve">: a systematic review and </w:t>
        </w:r>
        <w:r w:rsidRPr="00E55C63">
          <w:rPr>
            <w:rFonts w:asciiTheme="majorHAnsi" w:eastAsia="Times New Roman" w:hAnsiTheme="majorHAnsi" w:cs="Arial"/>
            <w:bCs/>
            <w:lang w:val="en-US"/>
          </w:rPr>
          <w:t>meta-analysis</w:t>
        </w:r>
        <w:r w:rsidRPr="00E55C63">
          <w:rPr>
            <w:rFonts w:asciiTheme="majorHAnsi" w:eastAsia="Times New Roman" w:hAnsiTheme="majorHAnsi" w:cs="Arial"/>
            <w:lang w:val="en-US"/>
          </w:rPr>
          <w:t>.</w:t>
        </w:r>
      </w:hyperlink>
      <w:r w:rsidRPr="00E55C63">
        <w:rPr>
          <w:rFonts w:asciiTheme="majorHAnsi" w:eastAsia="Times New Roman" w:hAnsiTheme="majorHAnsi" w:cs="Arial"/>
          <w:lang w:val="en-US"/>
        </w:rPr>
        <w:t xml:space="preserve"> Ann Intern Med</w:t>
      </w:r>
      <w:r>
        <w:rPr>
          <w:rFonts w:asciiTheme="majorHAnsi" w:eastAsia="Times New Roman" w:hAnsiTheme="majorHAnsi" w:cs="Arial"/>
          <w:lang w:val="en-US"/>
        </w:rPr>
        <w:t>. 2012 ;157</w:t>
      </w:r>
      <w:r w:rsidRPr="00E55C63">
        <w:rPr>
          <w:rFonts w:asciiTheme="majorHAnsi" w:eastAsia="Times New Roman" w:hAnsiTheme="majorHAnsi" w:cs="Arial"/>
          <w:lang w:val="en-US"/>
        </w:rPr>
        <w:t>:180-91.</w:t>
      </w:r>
    </w:p>
    <w:p w14:paraId="27479945" w14:textId="77777777" w:rsidR="00CE63EE" w:rsidRDefault="00CE63EE" w:rsidP="00CE63EE">
      <w:pPr>
        <w:autoSpaceDE w:val="0"/>
        <w:autoSpaceDN w:val="0"/>
        <w:adjustRightInd w:val="0"/>
        <w:rPr>
          <w:rFonts w:asciiTheme="majorHAnsi" w:hAnsiTheme="majorHAnsi" w:cs="AdvP6EC0"/>
          <w:lang w:val="en-US"/>
        </w:rPr>
      </w:pPr>
    </w:p>
    <w:p w14:paraId="00CFBC52" w14:textId="77777777" w:rsidR="00CE63EE" w:rsidRPr="00911661" w:rsidRDefault="00CE63EE" w:rsidP="00CE63EE">
      <w:pPr>
        <w:shd w:val="clear" w:color="auto" w:fill="FFFFFF"/>
        <w:rPr>
          <w:rFonts w:asciiTheme="majorHAnsi" w:eastAsia="Times New Roman" w:hAnsiTheme="majorHAnsi" w:cs="Arial"/>
          <w:lang w:val="en-US"/>
        </w:rPr>
      </w:pPr>
      <w:r w:rsidRPr="00B328C9">
        <w:rPr>
          <w:rFonts w:asciiTheme="majorHAnsi" w:hAnsiTheme="majorHAnsi" w:cs="AdvP6EC0"/>
          <w:lang w:val="en-US"/>
        </w:rPr>
        <w:t xml:space="preserve">23. </w:t>
      </w:r>
      <w:r w:rsidRPr="00911661">
        <w:rPr>
          <w:rFonts w:asciiTheme="majorHAnsi" w:eastAsia="Times New Roman" w:hAnsiTheme="majorHAnsi" w:cs="Arial"/>
          <w:lang w:val="en-US"/>
        </w:rPr>
        <w:t>Vavken P, Dorotka R.</w:t>
      </w:r>
      <w:r w:rsidRPr="00B328C9">
        <w:rPr>
          <w:rFonts w:asciiTheme="majorHAnsi" w:eastAsia="Times New Roman" w:hAnsiTheme="majorHAnsi" w:cs="Arial"/>
          <w:lang w:val="en-US"/>
        </w:rPr>
        <w:t xml:space="preserve"> </w:t>
      </w:r>
      <w:hyperlink r:id="rId20" w:history="1">
        <w:r w:rsidRPr="00911661">
          <w:rPr>
            <w:rFonts w:asciiTheme="majorHAnsi" w:eastAsia="Times New Roman" w:hAnsiTheme="majorHAnsi" w:cs="Arial"/>
            <w:lang w:val="en-US"/>
          </w:rPr>
          <w:t>A systematic review of conflicting meta-analyses in orthopaedic surgery.</w:t>
        </w:r>
      </w:hyperlink>
      <w:r w:rsidRPr="00B328C9">
        <w:rPr>
          <w:rFonts w:asciiTheme="majorHAnsi" w:eastAsia="Times New Roman" w:hAnsiTheme="majorHAnsi" w:cs="Arial"/>
          <w:lang w:val="en-US"/>
        </w:rPr>
        <w:t xml:space="preserve"> Clin Orthop Relat Res</w:t>
      </w:r>
      <w:r>
        <w:rPr>
          <w:rFonts w:asciiTheme="majorHAnsi" w:eastAsia="Times New Roman" w:hAnsiTheme="majorHAnsi" w:cs="Arial"/>
          <w:lang w:val="en-US"/>
        </w:rPr>
        <w:t xml:space="preserve"> 2009</w:t>
      </w:r>
      <w:r w:rsidRPr="00B328C9">
        <w:rPr>
          <w:rFonts w:asciiTheme="majorHAnsi" w:eastAsia="Times New Roman" w:hAnsiTheme="majorHAnsi" w:cs="Arial"/>
          <w:lang w:val="en-US"/>
        </w:rPr>
        <w:t>;467</w:t>
      </w:r>
      <w:r w:rsidRPr="00911661">
        <w:rPr>
          <w:rFonts w:asciiTheme="majorHAnsi" w:eastAsia="Times New Roman" w:hAnsiTheme="majorHAnsi" w:cs="Arial"/>
          <w:lang w:val="en-US"/>
        </w:rPr>
        <w:t xml:space="preserve">:2723-35. </w:t>
      </w:r>
    </w:p>
    <w:p w14:paraId="3C783782" w14:textId="77777777" w:rsidR="00CE63EE" w:rsidRPr="00B328C9" w:rsidRDefault="00CE63EE" w:rsidP="00CE63EE">
      <w:pPr>
        <w:autoSpaceDE w:val="0"/>
        <w:autoSpaceDN w:val="0"/>
        <w:adjustRightInd w:val="0"/>
        <w:rPr>
          <w:rFonts w:asciiTheme="majorHAnsi" w:hAnsiTheme="majorHAnsi" w:cs="AdvP6EC0"/>
          <w:lang w:val="en-US"/>
        </w:rPr>
      </w:pPr>
    </w:p>
    <w:p w14:paraId="6AF64606" w14:textId="77777777" w:rsidR="00CE63EE" w:rsidRDefault="00CE63EE" w:rsidP="00CE63EE">
      <w:pPr>
        <w:shd w:val="clear" w:color="auto" w:fill="FFFFFF"/>
        <w:rPr>
          <w:rFonts w:asciiTheme="majorHAnsi" w:eastAsia="Times New Roman" w:hAnsiTheme="majorHAnsi" w:cs="Arial"/>
        </w:rPr>
      </w:pPr>
      <w:r w:rsidRPr="00B328C9">
        <w:rPr>
          <w:rFonts w:asciiTheme="majorHAnsi" w:hAnsiTheme="majorHAnsi" w:cs="AdvP6EC0"/>
          <w:lang w:val="en-US"/>
        </w:rPr>
        <w:t>24.</w:t>
      </w:r>
      <w:r w:rsidRPr="00B328C9">
        <w:rPr>
          <w:rFonts w:asciiTheme="majorHAnsi" w:hAnsiTheme="majorHAnsi" w:cs="Arial"/>
          <w:lang w:val="en-US"/>
        </w:rPr>
        <w:t xml:space="preserve"> </w:t>
      </w:r>
      <w:r w:rsidRPr="00B328C9">
        <w:rPr>
          <w:rFonts w:asciiTheme="majorHAnsi" w:eastAsia="Times New Roman" w:hAnsiTheme="majorHAnsi" w:cs="Arial"/>
          <w:lang w:val="en-US"/>
        </w:rPr>
        <w:t xml:space="preserve">Campbell J, Bellamy N, Gee T. </w:t>
      </w:r>
      <w:hyperlink r:id="rId21" w:history="1">
        <w:r w:rsidRPr="00B328C9">
          <w:rPr>
            <w:rFonts w:asciiTheme="majorHAnsi" w:eastAsia="Times New Roman" w:hAnsiTheme="majorHAnsi" w:cs="Arial"/>
            <w:lang w:val="en-US"/>
          </w:rPr>
          <w:t xml:space="preserve">Differences between systematic reviews/meta-analyses of </w:t>
        </w:r>
        <w:r w:rsidRPr="00B328C9">
          <w:rPr>
            <w:rFonts w:asciiTheme="majorHAnsi" w:eastAsia="Times New Roman" w:hAnsiTheme="majorHAnsi" w:cs="Arial"/>
            <w:bCs/>
            <w:lang w:val="en-US"/>
          </w:rPr>
          <w:t>hyaluronic acid</w:t>
        </w:r>
        <w:r w:rsidRPr="00B328C9">
          <w:rPr>
            <w:rFonts w:asciiTheme="majorHAnsi" w:eastAsia="Times New Roman" w:hAnsiTheme="majorHAnsi" w:cs="Arial"/>
            <w:lang w:val="en-US"/>
          </w:rPr>
          <w:t xml:space="preserve">/hyaluronan/hylan in </w:t>
        </w:r>
        <w:r w:rsidRPr="00B328C9">
          <w:rPr>
            <w:rFonts w:asciiTheme="majorHAnsi" w:eastAsia="Times New Roman" w:hAnsiTheme="majorHAnsi" w:cs="Arial"/>
            <w:bCs/>
            <w:lang w:val="en-US"/>
          </w:rPr>
          <w:t>osteoarthritis</w:t>
        </w:r>
        <w:r w:rsidRPr="00B328C9">
          <w:rPr>
            <w:rFonts w:asciiTheme="majorHAnsi" w:eastAsia="Times New Roman" w:hAnsiTheme="majorHAnsi" w:cs="Arial"/>
            <w:lang w:val="en-US"/>
          </w:rPr>
          <w:t xml:space="preserve"> of the </w:t>
        </w:r>
        <w:r w:rsidRPr="00B328C9">
          <w:rPr>
            <w:rFonts w:asciiTheme="majorHAnsi" w:eastAsia="Times New Roman" w:hAnsiTheme="majorHAnsi" w:cs="Arial"/>
            <w:bCs/>
            <w:lang w:val="en-US"/>
          </w:rPr>
          <w:t>knee</w:t>
        </w:r>
        <w:r w:rsidRPr="00B328C9">
          <w:rPr>
            <w:rFonts w:asciiTheme="majorHAnsi" w:eastAsia="Times New Roman" w:hAnsiTheme="majorHAnsi" w:cs="Arial"/>
            <w:lang w:val="en-US"/>
          </w:rPr>
          <w:t>.</w:t>
        </w:r>
      </w:hyperlink>
      <w:r w:rsidRPr="00B328C9">
        <w:rPr>
          <w:rFonts w:asciiTheme="majorHAnsi" w:eastAsia="Times New Roman" w:hAnsiTheme="majorHAnsi" w:cs="Arial"/>
          <w:lang w:val="en-US"/>
        </w:rPr>
        <w:t xml:space="preserve"> </w:t>
      </w:r>
      <w:r w:rsidRPr="00B328C9">
        <w:rPr>
          <w:rFonts w:asciiTheme="majorHAnsi" w:eastAsia="Times New Roman" w:hAnsiTheme="majorHAnsi" w:cs="Arial"/>
          <w:bCs/>
        </w:rPr>
        <w:t>Osteoarthritis</w:t>
      </w:r>
      <w:r w:rsidRPr="00B328C9">
        <w:rPr>
          <w:rFonts w:asciiTheme="majorHAnsi" w:eastAsia="Times New Roman" w:hAnsiTheme="majorHAnsi" w:cs="Arial"/>
        </w:rPr>
        <w:t xml:space="preserve"> Cartil  2007;15:1424-36. </w:t>
      </w:r>
    </w:p>
    <w:p w14:paraId="04E94AA5" w14:textId="77777777" w:rsidR="00CE63EE" w:rsidRDefault="00CE63EE" w:rsidP="00CE63EE">
      <w:pPr>
        <w:shd w:val="clear" w:color="auto" w:fill="FFFFFF"/>
        <w:rPr>
          <w:rFonts w:asciiTheme="majorHAnsi" w:eastAsia="Times New Roman" w:hAnsiTheme="majorHAnsi" w:cs="Arial"/>
        </w:rPr>
      </w:pPr>
    </w:p>
    <w:p w14:paraId="04E1562A" w14:textId="1B50F47F" w:rsidR="00CE63EE" w:rsidRPr="00E573E1" w:rsidRDefault="00CE63EE" w:rsidP="00CE63EE">
      <w:pPr>
        <w:rPr>
          <w:rFonts w:ascii="Arial" w:hAnsi="Arial" w:cs="Arial"/>
          <w:b/>
          <w:bCs/>
          <w:i/>
          <w:iCs/>
          <w:lang w:val="en-US"/>
        </w:rPr>
      </w:pPr>
      <w:r>
        <w:rPr>
          <w:rFonts w:asciiTheme="majorHAnsi" w:eastAsia="Times New Roman" w:hAnsiTheme="majorHAnsi" w:cs="Arial"/>
        </w:rPr>
        <w:t xml:space="preserve">25. Maheu E. Analyse des méta-analyses des acides hyaluroniques : d’où viennent les discordances ? </w:t>
      </w:r>
      <w:r w:rsidRPr="00E573E1">
        <w:rPr>
          <w:rFonts w:asciiTheme="majorHAnsi" w:eastAsia="Times New Roman" w:hAnsiTheme="majorHAnsi" w:cs="Arial"/>
          <w:lang w:val="en-US"/>
        </w:rPr>
        <w:t>Réflexi</w:t>
      </w:r>
      <w:r w:rsidR="00460D92">
        <w:rPr>
          <w:rFonts w:asciiTheme="majorHAnsi" w:eastAsia="Times New Roman" w:hAnsiTheme="majorHAnsi" w:cs="Arial"/>
          <w:lang w:val="en-US"/>
        </w:rPr>
        <w:t>ons Rhumatologiques 2007;11(96)</w:t>
      </w:r>
      <w:r w:rsidRPr="00E573E1">
        <w:rPr>
          <w:rFonts w:asciiTheme="majorHAnsi" w:eastAsia="Times New Roman" w:hAnsiTheme="majorHAnsi" w:cs="Arial"/>
          <w:lang w:val="en-US"/>
        </w:rPr>
        <w:t>: 21-4.</w:t>
      </w:r>
    </w:p>
    <w:p w14:paraId="53B341E7" w14:textId="77777777" w:rsidR="00CE63EE" w:rsidRPr="00E573E1" w:rsidRDefault="00CE63EE" w:rsidP="00CE63EE">
      <w:pPr>
        <w:autoSpaceDE w:val="0"/>
        <w:autoSpaceDN w:val="0"/>
        <w:adjustRightInd w:val="0"/>
        <w:rPr>
          <w:rFonts w:asciiTheme="majorHAnsi" w:hAnsiTheme="majorHAnsi" w:cs="AdvP6EC0"/>
          <w:lang w:val="en-US"/>
        </w:rPr>
      </w:pPr>
    </w:p>
    <w:p w14:paraId="1EF4210C" w14:textId="77777777" w:rsidR="00CE63EE" w:rsidRDefault="00CE63EE" w:rsidP="00CE63EE">
      <w:pPr>
        <w:shd w:val="clear" w:color="auto" w:fill="FFFFFF"/>
        <w:rPr>
          <w:rFonts w:asciiTheme="majorHAnsi" w:eastAsia="Times New Roman" w:hAnsiTheme="majorHAnsi" w:cs="Arial"/>
          <w:lang w:val="en-US"/>
        </w:rPr>
      </w:pPr>
      <w:r w:rsidRPr="00E573E1">
        <w:rPr>
          <w:rFonts w:asciiTheme="majorHAnsi" w:hAnsiTheme="majorHAnsi" w:cs="AdvP6EC0"/>
          <w:lang w:val="en-US"/>
        </w:rPr>
        <w:lastRenderedPageBreak/>
        <w:t xml:space="preserve">26. </w:t>
      </w:r>
      <w:r w:rsidRPr="00E573E1">
        <w:rPr>
          <w:rFonts w:asciiTheme="majorHAnsi" w:eastAsia="Times New Roman" w:hAnsiTheme="majorHAnsi" w:cs="Arial"/>
          <w:lang w:val="en-US"/>
        </w:rPr>
        <w:t xml:space="preserve">McAlindon TE, Bannuru RR. </w:t>
      </w:r>
      <w:hyperlink r:id="rId22" w:history="1">
        <w:r w:rsidRPr="00E55C63">
          <w:rPr>
            <w:rFonts w:asciiTheme="majorHAnsi" w:eastAsia="Times New Roman" w:hAnsiTheme="majorHAnsi" w:cs="Arial"/>
            <w:bCs/>
            <w:lang w:val="en-US"/>
          </w:rPr>
          <w:t>Osteoarthritis</w:t>
        </w:r>
        <w:r w:rsidRPr="00E55C63">
          <w:rPr>
            <w:rFonts w:asciiTheme="majorHAnsi" w:eastAsia="Times New Roman" w:hAnsiTheme="majorHAnsi" w:cs="Arial"/>
            <w:lang w:val="en-US"/>
          </w:rPr>
          <w:t xml:space="preserve">: Is viscosupplementation really so unsafe for </w:t>
        </w:r>
        <w:r w:rsidRPr="00E55C63">
          <w:rPr>
            <w:rFonts w:asciiTheme="majorHAnsi" w:eastAsia="Times New Roman" w:hAnsiTheme="majorHAnsi" w:cs="Arial"/>
            <w:bCs/>
            <w:lang w:val="en-US"/>
          </w:rPr>
          <w:t>knee</w:t>
        </w:r>
        <w:r w:rsidRPr="00E55C63">
          <w:rPr>
            <w:rFonts w:asciiTheme="majorHAnsi" w:eastAsia="Times New Roman" w:hAnsiTheme="majorHAnsi" w:cs="Arial"/>
            <w:lang w:val="en-US"/>
          </w:rPr>
          <w:t xml:space="preserve"> OA?</w:t>
        </w:r>
      </w:hyperlink>
      <w:r w:rsidRPr="00E55C63">
        <w:rPr>
          <w:rFonts w:asciiTheme="majorHAnsi" w:eastAsia="Times New Roman" w:hAnsiTheme="majorHAnsi" w:cs="Arial"/>
          <w:lang w:val="en-US"/>
        </w:rPr>
        <w:t xml:space="preserve"> Nat Rev Rheumatol</w:t>
      </w:r>
      <w:r>
        <w:rPr>
          <w:rFonts w:asciiTheme="majorHAnsi" w:eastAsia="Times New Roman" w:hAnsiTheme="majorHAnsi" w:cs="Arial"/>
          <w:lang w:val="en-US"/>
        </w:rPr>
        <w:t>. 2012 ;8</w:t>
      </w:r>
      <w:r w:rsidRPr="00E55C63">
        <w:rPr>
          <w:rFonts w:asciiTheme="majorHAnsi" w:eastAsia="Times New Roman" w:hAnsiTheme="majorHAnsi" w:cs="Arial"/>
          <w:lang w:val="en-US"/>
        </w:rPr>
        <w:t xml:space="preserve">:635-6. </w:t>
      </w:r>
    </w:p>
    <w:p w14:paraId="16A492F1" w14:textId="77777777" w:rsidR="00CE63EE" w:rsidRDefault="00CE63EE" w:rsidP="00CE63EE">
      <w:pPr>
        <w:shd w:val="clear" w:color="auto" w:fill="FFFFFF"/>
        <w:rPr>
          <w:rFonts w:asciiTheme="majorHAnsi" w:eastAsia="Times New Roman" w:hAnsiTheme="majorHAnsi" w:cs="Arial"/>
          <w:lang w:val="en-US"/>
        </w:rPr>
      </w:pPr>
    </w:p>
    <w:p w14:paraId="42A5E943" w14:textId="77777777" w:rsidR="00CE63EE" w:rsidRDefault="00CE63EE" w:rsidP="00CE63EE">
      <w:pPr>
        <w:shd w:val="clear" w:color="auto" w:fill="FFFFFF"/>
        <w:rPr>
          <w:rFonts w:asciiTheme="majorHAnsi" w:eastAsia="Times New Roman" w:hAnsiTheme="majorHAnsi" w:cs="Arial"/>
          <w:lang w:val="en-US"/>
        </w:rPr>
      </w:pPr>
      <w:r>
        <w:rPr>
          <w:rFonts w:asciiTheme="majorHAnsi" w:eastAsia="Times New Roman" w:hAnsiTheme="majorHAnsi" w:cs="Arial"/>
          <w:lang w:val="en-US"/>
        </w:rPr>
        <w:t>27. Tubach F, Ravaud P, Martin-Mola E, et al. Minimum clinically important improvement and patient acceptable symptom state in pain and function in Rheumatoid Arthritis, Ankylosing Spondylitis, Chronic Back Pain, Hand osteoarthritis and Hip and Knee Osteoarthritis: results from a prospective multinational study. Arthritis Care Res 2012;64:1699-707.</w:t>
      </w:r>
    </w:p>
    <w:p w14:paraId="71F294A4" w14:textId="77777777" w:rsidR="00CE63EE" w:rsidRDefault="00CE63EE" w:rsidP="00CE63EE">
      <w:pPr>
        <w:shd w:val="clear" w:color="auto" w:fill="FFFFFF"/>
        <w:rPr>
          <w:rFonts w:asciiTheme="majorHAnsi" w:eastAsia="Times New Roman" w:hAnsiTheme="majorHAnsi" w:cs="Arial"/>
          <w:lang w:val="en-US"/>
        </w:rPr>
      </w:pPr>
    </w:p>
    <w:p w14:paraId="023D479A" w14:textId="77777777" w:rsidR="00CE63EE" w:rsidRPr="00E573E1" w:rsidRDefault="00CE63EE" w:rsidP="00CE63EE">
      <w:pPr>
        <w:shd w:val="clear" w:color="auto" w:fill="FFFFFF"/>
        <w:rPr>
          <w:rFonts w:asciiTheme="majorHAnsi" w:eastAsia="Times New Roman" w:hAnsiTheme="majorHAnsi" w:cs="Arial"/>
        </w:rPr>
      </w:pPr>
      <w:r w:rsidRPr="00E65E75">
        <w:rPr>
          <w:rFonts w:asciiTheme="majorHAnsi" w:eastAsia="Times New Roman" w:hAnsiTheme="majorHAnsi" w:cs="Arial"/>
          <w:lang w:val="en-US"/>
        </w:rPr>
        <w:t xml:space="preserve">28. Berenbaum F, Grifka J, Cazzaniga S, et al. </w:t>
      </w:r>
      <w:hyperlink r:id="rId23" w:history="1">
        <w:r w:rsidRPr="00E65E75">
          <w:rPr>
            <w:rFonts w:asciiTheme="majorHAnsi" w:eastAsia="Times New Roman" w:hAnsiTheme="majorHAnsi" w:cs="Arial"/>
            <w:lang w:val="en-US"/>
          </w:rPr>
          <w:t>A randomised, double-blind, controlled trial comparing two intra-articular hyaluronic acid preparations differing by their molecular weight in symptomatic knee osteoarthritis.</w:t>
        </w:r>
      </w:hyperlink>
      <w:r w:rsidRPr="00E65E75">
        <w:rPr>
          <w:rFonts w:asciiTheme="majorHAnsi" w:eastAsia="Times New Roman" w:hAnsiTheme="majorHAnsi" w:cs="Arial"/>
          <w:lang w:val="en-US"/>
        </w:rPr>
        <w:t xml:space="preserve"> </w:t>
      </w:r>
      <w:r w:rsidRPr="00E573E1">
        <w:rPr>
          <w:rFonts w:asciiTheme="majorHAnsi" w:eastAsia="Times New Roman" w:hAnsiTheme="majorHAnsi" w:cs="Arial"/>
        </w:rPr>
        <w:t>Ann Rheum Dis. 2012 ;71:1454-60.</w:t>
      </w:r>
    </w:p>
    <w:p w14:paraId="03F08157" w14:textId="77777777" w:rsidR="00CE63EE" w:rsidRPr="00E573E1" w:rsidRDefault="00CE63EE" w:rsidP="00CE63EE">
      <w:pPr>
        <w:shd w:val="clear" w:color="auto" w:fill="FFFFFF"/>
        <w:rPr>
          <w:rFonts w:asciiTheme="majorHAnsi" w:eastAsia="Times New Roman" w:hAnsiTheme="majorHAnsi" w:cs="Arial"/>
        </w:rPr>
      </w:pPr>
    </w:p>
    <w:p w14:paraId="3C9EA865" w14:textId="77777777" w:rsidR="00CE63EE" w:rsidRPr="00E65E75" w:rsidRDefault="00CE63EE" w:rsidP="00CE63EE">
      <w:pPr>
        <w:shd w:val="clear" w:color="auto" w:fill="FFFFFF"/>
        <w:rPr>
          <w:rFonts w:asciiTheme="majorHAnsi" w:eastAsia="Times New Roman" w:hAnsiTheme="majorHAnsi" w:cs="Arial"/>
          <w:lang w:val="en-US"/>
        </w:rPr>
      </w:pPr>
      <w:r w:rsidRPr="00E65E75">
        <w:rPr>
          <w:rFonts w:asciiTheme="majorHAnsi" w:eastAsia="Times New Roman" w:hAnsiTheme="majorHAnsi" w:cs="Arial"/>
        </w:rPr>
        <w:t xml:space="preserve">29. </w:t>
      </w:r>
      <w:r w:rsidRPr="00E65E75">
        <w:rPr>
          <w:rFonts w:asciiTheme="majorHAnsi" w:eastAsia="Times New Roman" w:hAnsiTheme="majorHAnsi" w:cs="Arial"/>
          <w:bCs/>
        </w:rPr>
        <w:t>Maheu E</w:t>
      </w:r>
      <w:r w:rsidRPr="00E65E75">
        <w:rPr>
          <w:rFonts w:asciiTheme="majorHAnsi" w:eastAsia="Times New Roman" w:hAnsiTheme="majorHAnsi" w:cs="Arial"/>
        </w:rPr>
        <w:t xml:space="preserve">, Zaim M, Appelboom T, et al. </w:t>
      </w:r>
      <w:hyperlink r:id="rId24" w:history="1">
        <w:r w:rsidRPr="00E65E75">
          <w:rPr>
            <w:rFonts w:asciiTheme="majorHAnsi" w:eastAsia="Times New Roman" w:hAnsiTheme="majorHAnsi" w:cs="Arial"/>
            <w:lang w:val="en-US"/>
          </w:rPr>
          <w:t>Comparative efficacy and safety of two different molecular weight (MW) hyaluronans F60027 and Hylan G-F20 in symptomatic osteoarthritis of t</w:t>
        </w:r>
        <w:r>
          <w:rPr>
            <w:rFonts w:asciiTheme="majorHAnsi" w:eastAsia="Times New Roman" w:hAnsiTheme="majorHAnsi" w:cs="Arial"/>
            <w:lang w:val="en-US"/>
          </w:rPr>
          <w:t>he knee (KOA). Results of a non-</w:t>
        </w:r>
        <w:r w:rsidRPr="00E65E75">
          <w:rPr>
            <w:rFonts w:asciiTheme="majorHAnsi" w:eastAsia="Times New Roman" w:hAnsiTheme="majorHAnsi" w:cs="Arial"/>
            <w:lang w:val="en-US"/>
          </w:rPr>
          <w:t>inferiority, prospective, randomized, controlled trial.</w:t>
        </w:r>
      </w:hyperlink>
      <w:r w:rsidRPr="00E65E75">
        <w:rPr>
          <w:rFonts w:asciiTheme="majorHAnsi" w:eastAsia="Times New Roman" w:hAnsiTheme="majorHAnsi" w:cs="Arial"/>
          <w:lang w:val="en-US"/>
        </w:rPr>
        <w:t xml:space="preserve"> Clin Exp Rheumatol. 2011</w:t>
      </w:r>
      <w:r>
        <w:rPr>
          <w:rFonts w:asciiTheme="majorHAnsi" w:eastAsia="Times New Roman" w:hAnsiTheme="majorHAnsi" w:cs="Arial"/>
          <w:lang w:val="en-US"/>
        </w:rPr>
        <w:t> ;</w:t>
      </w:r>
      <w:r w:rsidRPr="00E65E75">
        <w:rPr>
          <w:rFonts w:asciiTheme="majorHAnsi" w:eastAsia="Times New Roman" w:hAnsiTheme="majorHAnsi" w:cs="Arial"/>
          <w:lang w:val="en-US"/>
        </w:rPr>
        <w:t>29:527-35.</w:t>
      </w:r>
    </w:p>
    <w:p w14:paraId="2DAF0798" w14:textId="77777777" w:rsidR="00CE63EE" w:rsidRPr="00E65E75" w:rsidRDefault="00CE63EE" w:rsidP="00CE63EE">
      <w:pPr>
        <w:shd w:val="clear" w:color="auto" w:fill="FFFFFF"/>
        <w:rPr>
          <w:rFonts w:asciiTheme="majorHAnsi" w:eastAsia="Times New Roman" w:hAnsiTheme="majorHAnsi" w:cs="Arial"/>
          <w:lang w:val="en-US"/>
        </w:rPr>
      </w:pPr>
    </w:p>
    <w:p w14:paraId="2EC325C4" w14:textId="77777777" w:rsidR="00CE63EE" w:rsidRPr="00E573E1" w:rsidRDefault="00CE63EE" w:rsidP="00CE63EE">
      <w:pPr>
        <w:shd w:val="clear" w:color="auto" w:fill="FFFFFF"/>
        <w:rPr>
          <w:rFonts w:asciiTheme="majorHAnsi" w:eastAsia="Times New Roman" w:hAnsiTheme="majorHAnsi" w:cs="Arial"/>
          <w:lang w:val="en-US"/>
        </w:rPr>
      </w:pPr>
      <w:r w:rsidRPr="00E65E75">
        <w:rPr>
          <w:rFonts w:asciiTheme="majorHAnsi" w:eastAsia="Times New Roman" w:hAnsiTheme="majorHAnsi" w:cs="Arial"/>
          <w:lang w:val="en-US"/>
        </w:rPr>
        <w:t xml:space="preserve">30. </w:t>
      </w:r>
      <w:r w:rsidRPr="00E65E75">
        <w:rPr>
          <w:rFonts w:asciiTheme="majorHAnsi" w:eastAsia="Times New Roman" w:hAnsiTheme="majorHAnsi" w:cs="Arial"/>
          <w:bCs/>
          <w:lang w:val="en-US"/>
        </w:rPr>
        <w:t>Pavelka K</w:t>
      </w:r>
      <w:r w:rsidRPr="00E65E75">
        <w:rPr>
          <w:rFonts w:asciiTheme="majorHAnsi" w:eastAsia="Times New Roman" w:hAnsiTheme="majorHAnsi" w:cs="Arial"/>
          <w:lang w:val="en-US"/>
        </w:rPr>
        <w:t xml:space="preserve">, Uebelhart D. </w:t>
      </w:r>
      <w:hyperlink r:id="rId25" w:history="1">
        <w:r w:rsidRPr="00E65E75">
          <w:rPr>
            <w:rFonts w:asciiTheme="majorHAnsi" w:eastAsia="Times New Roman" w:hAnsiTheme="majorHAnsi" w:cs="Arial"/>
            <w:lang w:val="en-US"/>
          </w:rPr>
          <w:t>Efficacy evaluation of highly purified intra-arti</w:t>
        </w:r>
        <w:r>
          <w:rPr>
            <w:rFonts w:asciiTheme="majorHAnsi" w:eastAsia="Times New Roman" w:hAnsiTheme="majorHAnsi" w:cs="Arial"/>
            <w:lang w:val="en-US"/>
          </w:rPr>
          <w:t>cular hyaluronic acid (Sinovial®) vs hylan G-F20 (Synvisc®</w:t>
        </w:r>
        <w:r w:rsidRPr="00E65E75">
          <w:rPr>
            <w:rFonts w:asciiTheme="majorHAnsi" w:eastAsia="Times New Roman" w:hAnsiTheme="majorHAnsi" w:cs="Arial"/>
            <w:lang w:val="en-US"/>
          </w:rPr>
          <w:t>) in the treatment of symptomatic knee osteoarthritis. A double-blind, controlled, randomized, parallel-group non-inferiority study.</w:t>
        </w:r>
      </w:hyperlink>
      <w:r w:rsidRPr="00E65E75">
        <w:rPr>
          <w:rFonts w:asciiTheme="majorHAnsi" w:eastAsia="Times New Roman" w:hAnsiTheme="majorHAnsi" w:cs="Arial"/>
          <w:lang w:val="en-US"/>
        </w:rPr>
        <w:t xml:space="preserve"> Osteoarthritis Cartil </w:t>
      </w:r>
      <w:r w:rsidRPr="00E573E1">
        <w:rPr>
          <w:rFonts w:asciiTheme="majorHAnsi" w:eastAsia="Times New Roman" w:hAnsiTheme="majorHAnsi" w:cs="Arial"/>
          <w:lang w:val="en-US"/>
        </w:rPr>
        <w:t xml:space="preserve">2011;19:1294-300. </w:t>
      </w:r>
    </w:p>
    <w:p w14:paraId="0F8C97FD" w14:textId="77777777" w:rsidR="00CE63EE" w:rsidRPr="00E573E1" w:rsidRDefault="00CE63EE" w:rsidP="00CE63EE">
      <w:pPr>
        <w:shd w:val="clear" w:color="auto" w:fill="FFFFFF"/>
        <w:rPr>
          <w:rFonts w:asciiTheme="majorHAnsi" w:eastAsia="Times New Roman" w:hAnsiTheme="majorHAnsi" w:cs="Arial"/>
          <w:lang w:val="en-US"/>
        </w:rPr>
      </w:pPr>
    </w:p>
    <w:p w14:paraId="18FEA4F3" w14:textId="628BB651" w:rsidR="00CE63EE" w:rsidRDefault="00CE63EE" w:rsidP="00CE63EE">
      <w:pPr>
        <w:shd w:val="clear" w:color="auto" w:fill="FFFFFF"/>
        <w:rPr>
          <w:rFonts w:asciiTheme="majorHAnsi" w:eastAsia="Times New Roman" w:hAnsiTheme="majorHAnsi" w:cs="Arial"/>
          <w:lang w:val="en-US"/>
        </w:rPr>
      </w:pPr>
      <w:r>
        <w:rPr>
          <w:rFonts w:asciiTheme="majorHAnsi" w:eastAsia="Times New Roman" w:hAnsiTheme="majorHAnsi" w:cs="Arial"/>
          <w:lang w:val="en-US"/>
        </w:rPr>
        <w:t>3</w:t>
      </w:r>
      <w:r w:rsidR="00786078">
        <w:rPr>
          <w:rFonts w:asciiTheme="majorHAnsi" w:eastAsia="Times New Roman" w:hAnsiTheme="majorHAnsi" w:cs="Arial"/>
          <w:lang w:val="en-US"/>
        </w:rPr>
        <w:t>1</w:t>
      </w:r>
      <w:r w:rsidR="009B0F37">
        <w:rPr>
          <w:rFonts w:asciiTheme="majorHAnsi" w:eastAsia="Times New Roman" w:hAnsiTheme="majorHAnsi" w:cs="Arial"/>
          <w:lang w:val="en-US"/>
        </w:rPr>
        <w:t xml:space="preserve">. </w:t>
      </w:r>
      <w:r w:rsidRPr="00CE63EE">
        <w:rPr>
          <w:rFonts w:asciiTheme="majorHAnsi" w:eastAsia="Times New Roman" w:hAnsiTheme="majorHAnsi" w:cs="Arial"/>
          <w:lang w:val="en-US"/>
        </w:rPr>
        <w:t>Juni P, Reichenbach S, Trelle S, Tschannen B, Wandel S, Jordi B, et al. Efficacy and safety of intraarticular hylan or hyaluronic acids for osteoarthritis of the knee: A randomized controlled trial. Art</w:t>
      </w:r>
      <w:r w:rsidR="00460D92">
        <w:rPr>
          <w:rFonts w:asciiTheme="majorHAnsi" w:eastAsia="Times New Roman" w:hAnsiTheme="majorHAnsi" w:cs="Arial"/>
          <w:lang w:val="en-US"/>
        </w:rPr>
        <w:t>hritis Rheum. 2007;56</w:t>
      </w:r>
      <w:r w:rsidRPr="00CE63EE">
        <w:rPr>
          <w:rFonts w:asciiTheme="majorHAnsi" w:eastAsia="Times New Roman" w:hAnsiTheme="majorHAnsi" w:cs="Arial"/>
          <w:lang w:val="en-US"/>
        </w:rPr>
        <w:t>:36</w:t>
      </w:r>
      <w:r w:rsidR="00460D92">
        <w:rPr>
          <w:rFonts w:asciiTheme="majorHAnsi" w:eastAsia="Times New Roman" w:hAnsiTheme="majorHAnsi" w:cs="Arial"/>
          <w:lang w:val="en-US"/>
        </w:rPr>
        <w:t>10-9</w:t>
      </w:r>
      <w:r w:rsidRPr="00CE63EE">
        <w:rPr>
          <w:rFonts w:asciiTheme="majorHAnsi" w:eastAsia="Times New Roman" w:hAnsiTheme="majorHAnsi" w:cs="Arial"/>
          <w:lang w:val="en-US"/>
        </w:rPr>
        <w:t>.</w:t>
      </w:r>
    </w:p>
    <w:p w14:paraId="7C0ACEBF" w14:textId="77777777" w:rsidR="00CE63EE" w:rsidRPr="00CE63EE" w:rsidRDefault="00CE63EE" w:rsidP="00CE63EE">
      <w:pPr>
        <w:shd w:val="clear" w:color="auto" w:fill="FFFFFF"/>
        <w:rPr>
          <w:rFonts w:asciiTheme="majorHAnsi" w:eastAsia="Times New Roman" w:hAnsiTheme="majorHAnsi" w:cs="Arial"/>
          <w:lang w:val="en-US"/>
        </w:rPr>
      </w:pPr>
    </w:p>
    <w:p w14:paraId="45AA78BC" w14:textId="79136280" w:rsidR="00CE63EE" w:rsidRDefault="00CE63EE" w:rsidP="00CE63EE">
      <w:pPr>
        <w:shd w:val="clear" w:color="auto" w:fill="FFFFFF"/>
        <w:rPr>
          <w:rFonts w:asciiTheme="majorHAnsi" w:eastAsia="Times New Roman" w:hAnsiTheme="majorHAnsi" w:cs="Arial"/>
          <w:lang w:val="en-US"/>
        </w:rPr>
      </w:pPr>
      <w:r>
        <w:rPr>
          <w:rFonts w:asciiTheme="majorHAnsi" w:eastAsia="Times New Roman" w:hAnsiTheme="majorHAnsi" w:cs="Arial"/>
          <w:lang w:val="en-US"/>
        </w:rPr>
        <w:t>3</w:t>
      </w:r>
      <w:r w:rsidR="00786078">
        <w:rPr>
          <w:rFonts w:asciiTheme="majorHAnsi" w:eastAsia="Times New Roman" w:hAnsiTheme="majorHAnsi" w:cs="Arial"/>
          <w:lang w:val="en-US"/>
        </w:rPr>
        <w:t>2</w:t>
      </w:r>
      <w:r w:rsidR="009B0F37">
        <w:rPr>
          <w:rFonts w:asciiTheme="majorHAnsi" w:eastAsia="Times New Roman" w:hAnsiTheme="majorHAnsi" w:cs="Arial"/>
          <w:lang w:val="en-US"/>
        </w:rPr>
        <w:t xml:space="preserve">. </w:t>
      </w:r>
      <w:r w:rsidRPr="00CE63EE">
        <w:rPr>
          <w:rFonts w:asciiTheme="majorHAnsi" w:eastAsia="Times New Roman" w:hAnsiTheme="majorHAnsi" w:cs="Arial"/>
          <w:lang w:val="en-US"/>
        </w:rPr>
        <w:t xml:space="preserve">Chevalier X, Marin A, Conrozier T. Comparison of hylan and hyaluronic acid for knee osteoarthritis: Comment on the article by Juni </w:t>
      </w:r>
      <w:r w:rsidR="00460D92">
        <w:rPr>
          <w:rFonts w:asciiTheme="majorHAnsi" w:eastAsia="Times New Roman" w:hAnsiTheme="majorHAnsi" w:cs="Arial"/>
          <w:lang w:val="en-US"/>
        </w:rPr>
        <w:t>et al. Arthritis Rheum. 2008;58</w:t>
      </w:r>
      <w:r w:rsidRPr="00CE63EE">
        <w:rPr>
          <w:rFonts w:asciiTheme="majorHAnsi" w:eastAsia="Times New Roman" w:hAnsiTheme="majorHAnsi" w:cs="Arial"/>
          <w:lang w:val="en-US"/>
        </w:rPr>
        <w:t xml:space="preserve">:1560-1. </w:t>
      </w:r>
    </w:p>
    <w:p w14:paraId="37E6AE2C" w14:textId="77777777" w:rsidR="00CE63EE" w:rsidRPr="00CE63EE" w:rsidRDefault="00CE63EE" w:rsidP="00CE63EE">
      <w:pPr>
        <w:shd w:val="clear" w:color="auto" w:fill="FFFFFF"/>
        <w:rPr>
          <w:rFonts w:asciiTheme="majorHAnsi" w:eastAsia="Times New Roman" w:hAnsiTheme="majorHAnsi" w:cs="Arial"/>
          <w:lang w:val="en-US"/>
        </w:rPr>
      </w:pPr>
    </w:p>
    <w:p w14:paraId="55DDB5AD" w14:textId="3824EB3F" w:rsidR="00CE63EE" w:rsidRDefault="00CE63EE" w:rsidP="00CE63EE">
      <w:pPr>
        <w:shd w:val="clear" w:color="auto" w:fill="FFFFFF"/>
        <w:rPr>
          <w:rFonts w:asciiTheme="majorHAnsi" w:eastAsia="Times New Roman" w:hAnsiTheme="majorHAnsi" w:cs="Arial"/>
          <w:lang w:val="en-US"/>
        </w:rPr>
      </w:pPr>
      <w:r>
        <w:rPr>
          <w:rFonts w:asciiTheme="majorHAnsi" w:eastAsia="Times New Roman" w:hAnsiTheme="majorHAnsi" w:cs="Arial"/>
          <w:lang w:val="en-US"/>
        </w:rPr>
        <w:t>3</w:t>
      </w:r>
      <w:r w:rsidR="00786078">
        <w:rPr>
          <w:rFonts w:asciiTheme="majorHAnsi" w:eastAsia="Times New Roman" w:hAnsiTheme="majorHAnsi" w:cs="Arial"/>
          <w:lang w:val="en-US"/>
        </w:rPr>
        <w:t>3</w:t>
      </w:r>
      <w:r w:rsidR="009B0F37">
        <w:rPr>
          <w:rFonts w:asciiTheme="majorHAnsi" w:eastAsia="Times New Roman" w:hAnsiTheme="majorHAnsi" w:cs="Arial"/>
          <w:lang w:val="en-US"/>
        </w:rPr>
        <w:t xml:space="preserve">. </w:t>
      </w:r>
      <w:r w:rsidRPr="00CE63EE">
        <w:rPr>
          <w:rFonts w:asciiTheme="majorHAnsi" w:eastAsia="Times New Roman" w:hAnsiTheme="majorHAnsi" w:cs="Arial"/>
          <w:lang w:val="en-US"/>
        </w:rPr>
        <w:t>Pham T, Le Henanff A, Ravaud P, Dieppe P, Paolozzi L, Dougados M. Evaluation of the symptomatic and structural efficacy of a new hyaluronic acid compound, NRD101, in comparison with diacerein and placebo in a 1 year randomised controlled study in symptomatic knee osteoarthri</w:t>
      </w:r>
      <w:r w:rsidR="001B2156">
        <w:rPr>
          <w:rFonts w:asciiTheme="majorHAnsi" w:eastAsia="Times New Roman" w:hAnsiTheme="majorHAnsi" w:cs="Arial"/>
          <w:lang w:val="en-US"/>
        </w:rPr>
        <w:t>tis. Ann Rheum Dis. 2004;63:1611-7.</w:t>
      </w:r>
    </w:p>
    <w:p w14:paraId="1BD20BC5" w14:textId="77777777" w:rsidR="00FF775E" w:rsidRPr="00CE63EE" w:rsidRDefault="00FF775E" w:rsidP="00CE63EE">
      <w:pPr>
        <w:shd w:val="clear" w:color="auto" w:fill="FFFFFF"/>
        <w:rPr>
          <w:rFonts w:asciiTheme="majorHAnsi" w:eastAsia="Times New Roman" w:hAnsiTheme="majorHAnsi" w:cs="Arial"/>
          <w:lang w:val="en-US"/>
        </w:rPr>
      </w:pPr>
    </w:p>
    <w:p w14:paraId="358F873D" w14:textId="6D2C1111" w:rsidR="00CE63EE" w:rsidRDefault="00CE63EE" w:rsidP="00CE63EE">
      <w:pPr>
        <w:shd w:val="clear" w:color="auto" w:fill="FFFFFF"/>
        <w:rPr>
          <w:rFonts w:asciiTheme="majorHAnsi" w:eastAsia="Times New Roman" w:hAnsiTheme="majorHAnsi" w:cs="Arial"/>
          <w:lang w:val="en-US"/>
        </w:rPr>
      </w:pPr>
      <w:r>
        <w:rPr>
          <w:rFonts w:asciiTheme="majorHAnsi" w:eastAsia="Times New Roman" w:hAnsiTheme="majorHAnsi" w:cs="Arial"/>
          <w:lang w:val="en-US"/>
        </w:rPr>
        <w:t>3</w:t>
      </w:r>
      <w:r w:rsidR="00786078">
        <w:rPr>
          <w:rFonts w:asciiTheme="majorHAnsi" w:eastAsia="Times New Roman" w:hAnsiTheme="majorHAnsi" w:cs="Arial"/>
          <w:lang w:val="en-US"/>
        </w:rPr>
        <w:t>4</w:t>
      </w:r>
      <w:r w:rsidR="009B0F37">
        <w:rPr>
          <w:rFonts w:asciiTheme="majorHAnsi" w:eastAsia="Times New Roman" w:hAnsiTheme="majorHAnsi" w:cs="Arial"/>
          <w:lang w:val="en-US"/>
        </w:rPr>
        <w:t xml:space="preserve">. </w:t>
      </w:r>
      <w:r w:rsidRPr="00CE63EE">
        <w:rPr>
          <w:rFonts w:asciiTheme="majorHAnsi" w:eastAsia="Times New Roman" w:hAnsiTheme="majorHAnsi" w:cs="Arial"/>
          <w:lang w:val="en-US"/>
        </w:rPr>
        <w:t>Atay T, Aslan A, Baydar ML, Ceylan B, Baykal B, Kirdemir V. [The efficacy of low- and high-molecular-weight hyaluronic acid applications after arthroscopic debridement in patients with osteoarthritis of the knee]. Ac</w:t>
      </w:r>
      <w:r w:rsidR="001B2156">
        <w:rPr>
          <w:rFonts w:asciiTheme="majorHAnsi" w:eastAsia="Times New Roman" w:hAnsiTheme="majorHAnsi" w:cs="Arial"/>
          <w:lang w:val="en-US"/>
        </w:rPr>
        <w:t>ta Orthop Traumatol Turc. 2008;4</w:t>
      </w:r>
      <w:r w:rsidRPr="00CE63EE">
        <w:rPr>
          <w:rFonts w:asciiTheme="majorHAnsi" w:eastAsia="Times New Roman" w:hAnsiTheme="majorHAnsi" w:cs="Arial"/>
          <w:lang w:val="en-US"/>
        </w:rPr>
        <w:t xml:space="preserve">:228-33. </w:t>
      </w:r>
    </w:p>
    <w:p w14:paraId="641A4886" w14:textId="77777777" w:rsidR="00FF775E" w:rsidRPr="00CE63EE" w:rsidRDefault="00FF775E" w:rsidP="00CE63EE">
      <w:pPr>
        <w:shd w:val="clear" w:color="auto" w:fill="FFFFFF"/>
        <w:rPr>
          <w:rFonts w:asciiTheme="majorHAnsi" w:eastAsia="Times New Roman" w:hAnsiTheme="majorHAnsi" w:cs="Arial"/>
          <w:lang w:val="en-US"/>
        </w:rPr>
      </w:pPr>
    </w:p>
    <w:p w14:paraId="5E43FD62" w14:textId="6CE14C18" w:rsidR="00CE63EE" w:rsidRPr="00CE63EE" w:rsidRDefault="00CE63EE" w:rsidP="00CE63EE">
      <w:pPr>
        <w:shd w:val="clear" w:color="auto" w:fill="FFFFFF"/>
        <w:rPr>
          <w:rFonts w:asciiTheme="majorHAnsi" w:eastAsia="Times New Roman" w:hAnsiTheme="majorHAnsi" w:cs="Arial"/>
          <w:lang w:val="en-US"/>
        </w:rPr>
      </w:pPr>
      <w:r>
        <w:rPr>
          <w:rFonts w:asciiTheme="majorHAnsi" w:eastAsia="Times New Roman" w:hAnsiTheme="majorHAnsi" w:cs="Arial"/>
          <w:lang w:val="en-US"/>
        </w:rPr>
        <w:t>3</w:t>
      </w:r>
      <w:r w:rsidR="009E4251">
        <w:rPr>
          <w:rFonts w:asciiTheme="majorHAnsi" w:eastAsia="Times New Roman" w:hAnsiTheme="majorHAnsi" w:cs="Arial"/>
          <w:lang w:val="en-US"/>
        </w:rPr>
        <w:t>5</w:t>
      </w:r>
      <w:r w:rsidR="009B0F37">
        <w:rPr>
          <w:rFonts w:asciiTheme="majorHAnsi" w:eastAsia="Times New Roman" w:hAnsiTheme="majorHAnsi" w:cs="Arial"/>
          <w:lang w:val="en-US"/>
        </w:rPr>
        <w:t xml:space="preserve">. </w:t>
      </w:r>
      <w:r w:rsidRPr="00CE63EE">
        <w:rPr>
          <w:rFonts w:asciiTheme="majorHAnsi" w:eastAsia="Times New Roman" w:hAnsiTheme="majorHAnsi" w:cs="Arial"/>
          <w:lang w:val="en-US"/>
        </w:rPr>
        <w:t xml:space="preserve">Shichikawa K, Maeda A, Ogawa N. [Clinical evaluation of sodium hyaluronate in the treatment of osteoarthritis </w:t>
      </w:r>
      <w:r w:rsidR="001B2156">
        <w:rPr>
          <w:rFonts w:asciiTheme="majorHAnsi" w:eastAsia="Times New Roman" w:hAnsiTheme="majorHAnsi" w:cs="Arial"/>
          <w:lang w:val="en-US"/>
        </w:rPr>
        <w:t>of the knee]. Ryumachi. 1983;23</w:t>
      </w:r>
      <w:r w:rsidRPr="00CE63EE">
        <w:rPr>
          <w:rFonts w:asciiTheme="majorHAnsi" w:eastAsia="Times New Roman" w:hAnsiTheme="majorHAnsi" w:cs="Arial"/>
          <w:lang w:val="en-US"/>
        </w:rPr>
        <w:t xml:space="preserve">:280-90. </w:t>
      </w:r>
    </w:p>
    <w:p w14:paraId="064280D3" w14:textId="77777777" w:rsidR="00CE63EE" w:rsidRDefault="00CE63EE" w:rsidP="00CE63EE">
      <w:pPr>
        <w:shd w:val="clear" w:color="auto" w:fill="FFFFFF"/>
        <w:rPr>
          <w:rFonts w:asciiTheme="majorHAnsi" w:eastAsia="Times New Roman" w:hAnsiTheme="majorHAnsi" w:cs="Arial"/>
          <w:lang w:val="en-US"/>
        </w:rPr>
      </w:pPr>
    </w:p>
    <w:p w14:paraId="4054D952" w14:textId="762F9F7E" w:rsidR="00CE63EE" w:rsidRDefault="009E4251" w:rsidP="00CE63EE">
      <w:pPr>
        <w:autoSpaceDE w:val="0"/>
        <w:autoSpaceDN w:val="0"/>
        <w:adjustRightInd w:val="0"/>
        <w:rPr>
          <w:rFonts w:ascii="Calibri" w:hAnsi="Calibri" w:cs="AdvPA0C4"/>
          <w:lang w:val="en-US"/>
        </w:rPr>
      </w:pPr>
      <w:r>
        <w:rPr>
          <w:rFonts w:ascii="Calibri" w:hAnsi="Calibri" w:cs="Arial"/>
          <w:lang w:val="en-US"/>
        </w:rPr>
        <w:t>36</w:t>
      </w:r>
      <w:r w:rsidR="00CE63EE" w:rsidRPr="006A0A8D">
        <w:rPr>
          <w:rFonts w:ascii="Calibri" w:hAnsi="Calibri" w:cs="Arial"/>
          <w:lang w:val="en-US"/>
        </w:rPr>
        <w:t xml:space="preserve">. </w:t>
      </w:r>
      <w:r w:rsidR="00CE63EE" w:rsidRPr="006A0A8D">
        <w:rPr>
          <w:rFonts w:ascii="Calibri" w:hAnsi="Calibri" w:cs="AdvPA0C8"/>
          <w:lang w:val="en-US"/>
        </w:rPr>
        <w:t>Zhang</w:t>
      </w:r>
      <w:r w:rsidR="00CE63EE">
        <w:rPr>
          <w:rFonts w:ascii="Calibri" w:hAnsi="Calibri" w:cs="AdvPA0C8"/>
          <w:lang w:val="en-US"/>
        </w:rPr>
        <w:t xml:space="preserve"> W, </w:t>
      </w:r>
      <w:r w:rsidR="00CE63EE" w:rsidRPr="006A0A8D">
        <w:rPr>
          <w:rFonts w:ascii="Calibri" w:hAnsi="Calibri" w:cs="AdvPA0C8"/>
          <w:lang w:val="en-US"/>
        </w:rPr>
        <w:t>Jones</w:t>
      </w:r>
      <w:r w:rsidR="00CE63EE">
        <w:rPr>
          <w:rFonts w:ascii="Calibri" w:hAnsi="Calibri" w:cs="AdvPA0C8"/>
          <w:lang w:val="en-US"/>
        </w:rPr>
        <w:t xml:space="preserve"> A, </w:t>
      </w:r>
      <w:r w:rsidR="00CE63EE" w:rsidRPr="006A0A8D">
        <w:rPr>
          <w:rFonts w:ascii="Calibri" w:hAnsi="Calibri" w:cs="AdvPA0C8"/>
          <w:lang w:val="en-US"/>
        </w:rPr>
        <w:t>Doherty</w:t>
      </w:r>
      <w:r w:rsidR="00CE63EE">
        <w:rPr>
          <w:rFonts w:ascii="Calibri" w:hAnsi="Calibri" w:cs="AdvPA0C8"/>
          <w:lang w:val="en-US"/>
        </w:rPr>
        <w:t xml:space="preserve"> M</w:t>
      </w:r>
      <w:r w:rsidR="00CE63EE" w:rsidRPr="006A0A8D">
        <w:rPr>
          <w:rFonts w:ascii="Calibri" w:hAnsi="Calibri" w:cs="AdvPA0C8"/>
          <w:lang w:val="en-US"/>
        </w:rPr>
        <w:t xml:space="preserve">. </w:t>
      </w:r>
      <w:r w:rsidR="00CE63EE" w:rsidRPr="006A0A8D">
        <w:rPr>
          <w:rFonts w:ascii="Calibri" w:hAnsi="Calibri" w:cs="AdvPA0C4"/>
          <w:lang w:val="en-US"/>
        </w:rPr>
        <w:t xml:space="preserve">Does paracetamol </w:t>
      </w:r>
      <w:r w:rsidR="00CE63EE">
        <w:rPr>
          <w:rFonts w:ascii="Calibri" w:hAnsi="Calibri" w:cs="AdvPA0C4"/>
          <w:lang w:val="en-US"/>
        </w:rPr>
        <w:t xml:space="preserve">(acetaminophen) reduce the pain </w:t>
      </w:r>
      <w:r w:rsidR="00CE63EE" w:rsidRPr="006A0A8D">
        <w:rPr>
          <w:rFonts w:ascii="Calibri" w:hAnsi="Calibri" w:cs="AdvPA0C4"/>
          <w:lang w:val="en-US"/>
        </w:rPr>
        <w:t xml:space="preserve">of </w:t>
      </w:r>
      <w:r w:rsidR="00CE63EE" w:rsidRPr="001D3F2A">
        <w:rPr>
          <w:rFonts w:ascii="Calibri" w:hAnsi="Calibri" w:cs="AdvPA0C4"/>
          <w:lang w:val="en-US"/>
        </w:rPr>
        <w:t>osteoarthritis</w:t>
      </w:r>
      <w:r w:rsidR="00CE63EE" w:rsidRPr="001D3F2A">
        <w:rPr>
          <w:rFonts w:ascii="Calibri" w:hAnsi="Calibri" w:cs="AdvP2A83"/>
          <w:lang w:val="en-US"/>
        </w:rPr>
        <w:t>?</w:t>
      </w:r>
      <w:r w:rsidR="00CE63EE" w:rsidRPr="001D3F2A">
        <w:rPr>
          <w:rFonts w:ascii="Calibri" w:hAnsi="Calibri" w:cs="AdvPA0C4"/>
          <w:lang w:val="en-US"/>
        </w:rPr>
        <w:t xml:space="preserve">: a meta-analysis of randomized controlled trials. </w:t>
      </w:r>
      <w:r w:rsidR="00CE63EE">
        <w:rPr>
          <w:rFonts w:ascii="Calibri" w:hAnsi="Calibri" w:cs="AdvPA0C7"/>
          <w:lang w:val="en-US"/>
        </w:rPr>
        <w:t>Ann Rheum Dis </w:t>
      </w:r>
      <w:r w:rsidR="00CE63EE" w:rsidRPr="001D3F2A">
        <w:rPr>
          <w:rFonts w:ascii="Calibri" w:hAnsi="Calibri" w:cs="AdvPA0C4"/>
          <w:lang w:val="en-US"/>
        </w:rPr>
        <w:t>2004</w:t>
      </w:r>
      <w:r w:rsidR="00CE63EE">
        <w:rPr>
          <w:rFonts w:ascii="Calibri" w:hAnsi="Calibri" w:cs="AdvPA0C4"/>
          <w:lang w:val="en-US"/>
        </w:rPr>
        <w:t>;</w:t>
      </w:r>
      <w:r w:rsidR="00CE63EE" w:rsidRPr="001D3F2A">
        <w:rPr>
          <w:rFonts w:ascii="Calibri" w:hAnsi="Calibri" w:cs="AdvPA0C8"/>
          <w:lang w:val="en-US"/>
        </w:rPr>
        <w:t>63</w:t>
      </w:r>
      <w:r w:rsidR="00CE63EE">
        <w:rPr>
          <w:rFonts w:ascii="Calibri" w:hAnsi="Calibri" w:cs="AdvPA0C4"/>
          <w:lang w:val="en-US"/>
        </w:rPr>
        <w:t xml:space="preserve"> : </w:t>
      </w:r>
      <w:r w:rsidR="00CE63EE" w:rsidRPr="001D3F2A">
        <w:rPr>
          <w:rFonts w:ascii="Calibri" w:hAnsi="Calibri" w:cs="AdvPA0C4"/>
          <w:lang w:val="en-US"/>
        </w:rPr>
        <w:t>901-7.</w:t>
      </w:r>
    </w:p>
    <w:p w14:paraId="1222013F" w14:textId="77777777" w:rsidR="00CE63EE" w:rsidRPr="001D3F2A" w:rsidRDefault="00CE63EE" w:rsidP="00CE63EE">
      <w:pPr>
        <w:autoSpaceDE w:val="0"/>
        <w:autoSpaceDN w:val="0"/>
        <w:adjustRightInd w:val="0"/>
        <w:rPr>
          <w:rFonts w:ascii="Calibri" w:hAnsi="Calibri" w:cs="AdvPA0C4"/>
          <w:lang w:val="en-US"/>
        </w:rPr>
      </w:pPr>
    </w:p>
    <w:p w14:paraId="3D969B4A" w14:textId="316EA0A1" w:rsidR="00CE63EE" w:rsidRPr="00F70214" w:rsidRDefault="009E4251" w:rsidP="00CE63EE">
      <w:pPr>
        <w:shd w:val="clear" w:color="auto" w:fill="FFFFFF"/>
        <w:rPr>
          <w:rFonts w:ascii="Calibri" w:hAnsi="Calibri" w:cs="Arial"/>
          <w:lang w:val="en-US"/>
        </w:rPr>
      </w:pPr>
      <w:r>
        <w:rPr>
          <w:rFonts w:ascii="Calibri" w:hAnsi="Calibri" w:cs="AdvOT0231c847"/>
          <w:lang w:val="en-US"/>
        </w:rPr>
        <w:lastRenderedPageBreak/>
        <w:t>37</w:t>
      </w:r>
      <w:r w:rsidR="00CE63EE" w:rsidRPr="006A0A8D">
        <w:rPr>
          <w:rFonts w:ascii="Calibri" w:hAnsi="Calibri" w:cs="AdvOT0231c847"/>
          <w:lang w:val="en-US"/>
        </w:rPr>
        <w:t xml:space="preserve">. </w:t>
      </w:r>
      <w:r w:rsidR="00CE63EE" w:rsidRPr="006A0A8D">
        <w:rPr>
          <w:rFonts w:ascii="Calibri" w:hAnsi="Calibri" w:cs="Arial"/>
          <w:bCs/>
          <w:lang w:val="en-US"/>
        </w:rPr>
        <w:t>Bjordal JM</w:t>
      </w:r>
      <w:r w:rsidR="00CE63EE" w:rsidRPr="006A0A8D">
        <w:rPr>
          <w:rFonts w:ascii="Calibri" w:hAnsi="Calibri" w:cs="Arial"/>
          <w:lang w:val="en-US"/>
        </w:rPr>
        <w:t xml:space="preserve">, Ljunggren AE, Klovning A, Slørdal L. </w:t>
      </w:r>
      <w:hyperlink r:id="rId26" w:history="1">
        <w:r w:rsidR="00CE63EE" w:rsidRPr="006A0A8D">
          <w:rPr>
            <w:rFonts w:ascii="Calibri" w:eastAsia="Times New Roman" w:hAnsi="Calibri" w:cs="Arial"/>
            <w:lang w:val="en-US"/>
          </w:rPr>
          <w:t>Non-steroidal anti-inflammatory drugs, including cyclo-oxygenase-2 inhibitors, in osteoarthritic knee pain: meta-analysis of randomised placebo controlled trials.</w:t>
        </w:r>
      </w:hyperlink>
      <w:r w:rsidR="00CE63EE" w:rsidRPr="006A0A8D">
        <w:rPr>
          <w:rFonts w:ascii="Calibri" w:eastAsia="Times New Roman" w:hAnsi="Calibri" w:cs="Arial"/>
          <w:lang w:val="en-US"/>
        </w:rPr>
        <w:t xml:space="preserve"> </w:t>
      </w:r>
      <w:r w:rsidR="00CE63EE" w:rsidRPr="00F70214">
        <w:rPr>
          <w:rStyle w:val="jrnl"/>
          <w:rFonts w:ascii="Calibri" w:hAnsi="Calibri" w:cs="Arial"/>
          <w:lang w:val="en-US"/>
        </w:rPr>
        <w:t>BMJ</w:t>
      </w:r>
      <w:r w:rsidR="00CE63EE">
        <w:rPr>
          <w:rFonts w:ascii="Calibri" w:hAnsi="Calibri" w:cs="Arial"/>
          <w:lang w:val="en-US"/>
        </w:rPr>
        <w:t> </w:t>
      </w:r>
      <w:r w:rsidR="00CE63EE" w:rsidRPr="00F70214">
        <w:rPr>
          <w:rFonts w:ascii="Calibri" w:hAnsi="Calibri" w:cs="Arial"/>
          <w:bCs/>
          <w:lang w:val="en-US"/>
        </w:rPr>
        <w:t>2004</w:t>
      </w:r>
      <w:r w:rsidR="00CE63EE">
        <w:rPr>
          <w:rFonts w:ascii="Calibri" w:hAnsi="Calibri" w:cs="Arial"/>
          <w:lang w:val="en-US"/>
        </w:rPr>
        <w:t>;</w:t>
      </w:r>
      <w:r w:rsidR="00CE63EE" w:rsidRPr="00F70214">
        <w:rPr>
          <w:rFonts w:ascii="Calibri" w:hAnsi="Calibri" w:cs="Arial"/>
          <w:lang w:val="en-US"/>
        </w:rPr>
        <w:t>329:1317-22.</w:t>
      </w:r>
    </w:p>
    <w:p w14:paraId="55D031B6" w14:textId="77777777" w:rsidR="00CE63EE" w:rsidRPr="00F70214" w:rsidRDefault="00CE63EE" w:rsidP="00CE63EE">
      <w:pPr>
        <w:shd w:val="clear" w:color="auto" w:fill="FFFFFF"/>
        <w:rPr>
          <w:rFonts w:ascii="Calibri" w:hAnsi="Calibri" w:cs="Arial"/>
          <w:lang w:val="en-US"/>
        </w:rPr>
      </w:pPr>
    </w:p>
    <w:p w14:paraId="2F0FE610" w14:textId="18950AF8" w:rsidR="00CE63EE" w:rsidRDefault="009E4251" w:rsidP="00CE63EE">
      <w:pPr>
        <w:autoSpaceDE w:val="0"/>
        <w:autoSpaceDN w:val="0"/>
        <w:adjustRightInd w:val="0"/>
        <w:rPr>
          <w:rFonts w:asciiTheme="majorHAnsi" w:hAnsiTheme="majorHAnsi" w:cs="AdvP6EC0"/>
          <w:lang w:val="en-US"/>
        </w:rPr>
      </w:pPr>
      <w:r>
        <w:rPr>
          <w:rFonts w:asciiTheme="majorHAnsi" w:hAnsiTheme="majorHAnsi" w:cs="AdvOT0231c847"/>
          <w:lang w:val="en-US"/>
        </w:rPr>
        <w:t>38</w:t>
      </w:r>
      <w:r w:rsidR="00CE63EE" w:rsidRPr="00AB41A9">
        <w:rPr>
          <w:rFonts w:asciiTheme="majorHAnsi" w:hAnsiTheme="majorHAnsi" w:cs="AdvOT0231c847"/>
          <w:lang w:val="en-US"/>
        </w:rPr>
        <w:t xml:space="preserve">. Avouac J, Gossec L, Dougados M. </w:t>
      </w:r>
      <w:r w:rsidR="00CE63EE" w:rsidRPr="00AB41A9">
        <w:rPr>
          <w:rFonts w:asciiTheme="majorHAnsi" w:hAnsiTheme="majorHAnsi" w:cs="AdvP6EC5"/>
          <w:lang w:val="en-US"/>
        </w:rPr>
        <w:t xml:space="preserve">Efficacy and safety of opioids for </w:t>
      </w:r>
      <w:r w:rsidR="00CE63EE">
        <w:rPr>
          <w:rFonts w:asciiTheme="majorHAnsi" w:hAnsiTheme="majorHAnsi" w:cs="AdvP6EC5"/>
          <w:lang w:val="en-US"/>
        </w:rPr>
        <w:t xml:space="preserve">osteoarthritis: a meta-analysis </w:t>
      </w:r>
      <w:r w:rsidR="00CE63EE" w:rsidRPr="00AB41A9">
        <w:rPr>
          <w:rFonts w:asciiTheme="majorHAnsi" w:hAnsiTheme="majorHAnsi" w:cs="AdvP6EC5"/>
          <w:lang w:val="en-US"/>
        </w:rPr>
        <w:t xml:space="preserve">of randomized controlled trials. </w:t>
      </w:r>
      <w:r w:rsidR="00CE63EE">
        <w:rPr>
          <w:rFonts w:asciiTheme="majorHAnsi" w:hAnsiTheme="majorHAnsi" w:cs="AdvP6421"/>
          <w:lang w:val="en-US"/>
        </w:rPr>
        <w:t xml:space="preserve">Osteoarthritis Cartil </w:t>
      </w:r>
      <w:r w:rsidR="00CE63EE">
        <w:rPr>
          <w:rFonts w:asciiTheme="majorHAnsi" w:hAnsiTheme="majorHAnsi" w:cs="AdvP6EC0"/>
          <w:lang w:val="en-US"/>
        </w:rPr>
        <w:t>2007;</w:t>
      </w:r>
      <w:r w:rsidR="00CE63EE">
        <w:rPr>
          <w:rFonts w:asciiTheme="majorHAnsi" w:hAnsiTheme="majorHAnsi" w:cs="AdvP6EC5"/>
          <w:lang w:val="en-US"/>
        </w:rPr>
        <w:t>15:</w:t>
      </w:r>
      <w:r w:rsidR="00CE63EE" w:rsidRPr="00AB41A9">
        <w:rPr>
          <w:rFonts w:asciiTheme="majorHAnsi" w:hAnsiTheme="majorHAnsi" w:cs="AdvP6EC0"/>
          <w:lang w:val="en-US"/>
        </w:rPr>
        <w:t>957</w:t>
      </w:r>
      <w:r w:rsidR="00CE63EE">
        <w:rPr>
          <w:rFonts w:asciiTheme="majorHAnsi" w:hAnsiTheme="majorHAnsi" w:cs="AdvPS44A44B"/>
          <w:lang w:val="en-US"/>
        </w:rPr>
        <w:t>-</w:t>
      </w:r>
      <w:r w:rsidR="00CE63EE" w:rsidRPr="00AB41A9">
        <w:rPr>
          <w:rFonts w:asciiTheme="majorHAnsi" w:hAnsiTheme="majorHAnsi" w:cs="AdvP6EC0"/>
          <w:lang w:val="en-US"/>
        </w:rPr>
        <w:t>65</w:t>
      </w:r>
      <w:r w:rsidR="00CE63EE">
        <w:rPr>
          <w:rFonts w:asciiTheme="majorHAnsi" w:hAnsiTheme="majorHAnsi" w:cs="AdvP6EC0"/>
          <w:lang w:val="en-US"/>
        </w:rPr>
        <w:t>.</w:t>
      </w:r>
    </w:p>
    <w:p w14:paraId="0FF9D094" w14:textId="56ABB5FC" w:rsidR="00CE63EE" w:rsidRPr="00F70214" w:rsidRDefault="009E4251" w:rsidP="00CE63EE">
      <w:pPr>
        <w:pStyle w:val="Titre3"/>
        <w:rPr>
          <w:rFonts w:asciiTheme="majorHAnsi" w:hAnsiTheme="majorHAnsi" w:cs="Arial"/>
          <w:b w:val="0"/>
          <w:bCs w:val="0"/>
          <w:color w:val="222222"/>
          <w:sz w:val="24"/>
          <w:szCs w:val="24"/>
        </w:rPr>
      </w:pPr>
      <w:r>
        <w:rPr>
          <w:rFonts w:asciiTheme="majorHAnsi" w:hAnsiTheme="majorHAnsi" w:cs="AdvP6EC0"/>
          <w:b w:val="0"/>
          <w:sz w:val="24"/>
          <w:szCs w:val="24"/>
          <w:lang w:val="en-US"/>
        </w:rPr>
        <w:t>39</w:t>
      </w:r>
      <w:r w:rsidR="00CE63EE" w:rsidRPr="00FD7D1E">
        <w:rPr>
          <w:rFonts w:asciiTheme="majorHAnsi" w:hAnsiTheme="majorHAnsi" w:cs="AdvP6EC0"/>
          <w:b w:val="0"/>
          <w:sz w:val="24"/>
          <w:szCs w:val="24"/>
          <w:lang w:val="en-US"/>
        </w:rPr>
        <w:t xml:space="preserve">. Maheu E, Guillou GB. </w:t>
      </w:r>
      <w:r w:rsidR="00CE63EE" w:rsidRPr="00FD7D1E">
        <w:rPr>
          <w:rFonts w:asciiTheme="majorHAnsi" w:hAnsiTheme="majorHAnsi" w:cs="Arial"/>
          <w:b w:val="0"/>
          <w:bCs w:val="0"/>
          <w:color w:val="222222"/>
          <w:sz w:val="24"/>
          <w:szCs w:val="24"/>
          <w:lang w:val="en-US"/>
        </w:rPr>
        <w:t xml:space="preserve">Intra-articular therapy for osteoarthritis of the knee. </w:t>
      </w:r>
      <w:r w:rsidR="00CE63EE" w:rsidRPr="00F70214">
        <w:rPr>
          <w:rFonts w:asciiTheme="majorHAnsi" w:hAnsiTheme="majorHAnsi" w:cs="Arial"/>
          <w:b w:val="0"/>
          <w:bCs w:val="0"/>
          <w:color w:val="222222"/>
          <w:sz w:val="24"/>
          <w:szCs w:val="24"/>
        </w:rPr>
        <w:t>Prescrire Intern</w:t>
      </w:r>
      <w:r w:rsidR="00CE63EE">
        <w:rPr>
          <w:rFonts w:asciiTheme="majorHAnsi" w:hAnsiTheme="majorHAnsi" w:cs="Arial"/>
          <w:b w:val="0"/>
          <w:bCs w:val="0"/>
          <w:color w:val="222222"/>
          <w:sz w:val="24"/>
          <w:szCs w:val="24"/>
        </w:rPr>
        <w:t> </w:t>
      </w:r>
      <w:r w:rsidR="00CE63EE" w:rsidRPr="00F70214">
        <w:rPr>
          <w:rFonts w:asciiTheme="majorHAnsi" w:hAnsiTheme="majorHAnsi" w:cs="Arial"/>
          <w:b w:val="0"/>
          <w:bCs w:val="0"/>
          <w:color w:val="222222"/>
          <w:sz w:val="24"/>
          <w:szCs w:val="24"/>
        </w:rPr>
        <w:t>1995</w:t>
      </w:r>
      <w:r w:rsidR="00CE63EE">
        <w:rPr>
          <w:rFonts w:asciiTheme="majorHAnsi" w:hAnsiTheme="majorHAnsi" w:cs="Arial"/>
          <w:b w:val="0"/>
          <w:bCs w:val="0"/>
          <w:color w:val="222222"/>
          <w:sz w:val="24"/>
          <w:szCs w:val="24"/>
        </w:rPr>
        <w:t>;</w:t>
      </w:r>
      <w:r w:rsidR="00CE63EE" w:rsidRPr="00F70214">
        <w:rPr>
          <w:rFonts w:asciiTheme="majorHAnsi" w:hAnsiTheme="majorHAnsi" w:cs="Arial"/>
          <w:b w:val="0"/>
          <w:bCs w:val="0"/>
          <w:color w:val="222222"/>
          <w:sz w:val="24"/>
          <w:szCs w:val="24"/>
        </w:rPr>
        <w:t>15</w:t>
      </w:r>
      <w:r w:rsidR="00CE63EE">
        <w:rPr>
          <w:rFonts w:asciiTheme="majorHAnsi" w:hAnsiTheme="majorHAnsi" w:cs="Arial"/>
          <w:b w:val="0"/>
          <w:bCs w:val="0"/>
          <w:color w:val="222222"/>
          <w:sz w:val="24"/>
          <w:szCs w:val="24"/>
        </w:rPr>
        <w:t> :</w:t>
      </w:r>
      <w:r w:rsidR="00CE63EE" w:rsidRPr="00F70214">
        <w:rPr>
          <w:rFonts w:asciiTheme="majorHAnsi" w:hAnsiTheme="majorHAnsi" w:cs="Arial"/>
          <w:b w:val="0"/>
          <w:bCs w:val="0"/>
          <w:color w:val="222222"/>
          <w:sz w:val="24"/>
          <w:szCs w:val="24"/>
        </w:rPr>
        <w:t xml:space="preserve">  .</w:t>
      </w:r>
    </w:p>
    <w:p w14:paraId="7DC36C4B" w14:textId="2DB1D9C4" w:rsidR="00CE63EE" w:rsidRPr="00E573E1" w:rsidRDefault="009E4251" w:rsidP="00CE63EE">
      <w:pPr>
        <w:shd w:val="clear" w:color="auto" w:fill="FFFFFF"/>
        <w:rPr>
          <w:rFonts w:asciiTheme="majorHAnsi" w:hAnsiTheme="majorHAnsi" w:cs="Arial"/>
          <w:lang w:val="en-US"/>
        </w:rPr>
      </w:pPr>
      <w:r>
        <w:rPr>
          <w:rFonts w:asciiTheme="majorHAnsi" w:hAnsiTheme="majorHAnsi" w:cs="AdvP6EC0"/>
        </w:rPr>
        <w:t>40</w:t>
      </w:r>
      <w:r w:rsidR="00CE63EE" w:rsidRPr="00055B73">
        <w:rPr>
          <w:rFonts w:asciiTheme="majorHAnsi" w:hAnsiTheme="majorHAnsi" w:cs="AdvP6EC0"/>
        </w:rPr>
        <w:t xml:space="preserve">. Ravaud P, </w:t>
      </w:r>
      <w:r w:rsidR="00CE63EE" w:rsidRPr="00055B73">
        <w:rPr>
          <w:rFonts w:asciiTheme="majorHAnsi" w:hAnsiTheme="majorHAnsi" w:cs="Arial"/>
        </w:rPr>
        <w:t>Moulinier L, Giraudeau B et al.</w:t>
      </w:r>
      <w:r w:rsidR="00CE63EE" w:rsidRPr="00055B73">
        <w:rPr>
          <w:rFonts w:asciiTheme="majorHAnsi" w:eastAsia="Times New Roman" w:hAnsiTheme="majorHAnsi" w:cs="Arial"/>
        </w:rPr>
        <w:t xml:space="preserve"> </w:t>
      </w:r>
      <w:hyperlink r:id="rId27" w:history="1">
        <w:r w:rsidR="00CE63EE" w:rsidRPr="00055B73">
          <w:rPr>
            <w:rFonts w:asciiTheme="majorHAnsi" w:eastAsia="Times New Roman" w:hAnsiTheme="majorHAnsi" w:cs="Arial"/>
            <w:lang w:val="en-US"/>
          </w:rPr>
          <w:t>Effects of joint lavage and steroid injection in patients with osteoarthritis of the knee: results of a multicenter, randomized, controlled trial.</w:t>
        </w:r>
      </w:hyperlink>
      <w:r w:rsidR="00CE63EE" w:rsidRPr="00055B73">
        <w:rPr>
          <w:rFonts w:asciiTheme="majorHAnsi" w:eastAsia="Times New Roman" w:hAnsiTheme="majorHAnsi" w:cs="Arial"/>
          <w:lang w:val="en-US"/>
        </w:rPr>
        <w:t xml:space="preserve"> </w:t>
      </w:r>
      <w:r w:rsidR="00CE63EE" w:rsidRPr="00E573E1">
        <w:rPr>
          <w:rStyle w:val="jrnl"/>
          <w:rFonts w:asciiTheme="majorHAnsi" w:hAnsiTheme="majorHAnsi" w:cs="Arial"/>
          <w:lang w:val="en-US"/>
        </w:rPr>
        <w:t>Arthritis Rheum</w:t>
      </w:r>
      <w:r w:rsidR="001B2156">
        <w:rPr>
          <w:rFonts w:asciiTheme="majorHAnsi" w:hAnsiTheme="majorHAnsi" w:cs="Arial"/>
          <w:lang w:val="en-US"/>
        </w:rPr>
        <w:t xml:space="preserve"> 1999</w:t>
      </w:r>
      <w:r w:rsidR="00CE63EE" w:rsidRPr="00E573E1">
        <w:rPr>
          <w:rFonts w:asciiTheme="majorHAnsi" w:hAnsiTheme="majorHAnsi" w:cs="Arial"/>
          <w:lang w:val="en-US"/>
        </w:rPr>
        <w:t>;42:475-82.</w:t>
      </w:r>
    </w:p>
    <w:p w14:paraId="4D1E71BB" w14:textId="77777777" w:rsidR="00CE63EE" w:rsidRPr="00E573E1" w:rsidRDefault="00CE63EE" w:rsidP="00CE63EE">
      <w:pPr>
        <w:shd w:val="clear" w:color="auto" w:fill="FFFFFF"/>
        <w:rPr>
          <w:rFonts w:asciiTheme="majorHAnsi" w:hAnsiTheme="majorHAnsi" w:cs="Arial"/>
          <w:lang w:val="en-US"/>
        </w:rPr>
      </w:pPr>
    </w:p>
    <w:p w14:paraId="23FDEFC6" w14:textId="537FD321" w:rsidR="00CE63EE" w:rsidRPr="00E50FC1" w:rsidRDefault="009E4251" w:rsidP="00CE63EE">
      <w:pPr>
        <w:shd w:val="clear" w:color="auto" w:fill="FFFFFF"/>
        <w:rPr>
          <w:rFonts w:asciiTheme="majorHAnsi" w:hAnsiTheme="majorHAnsi" w:cs="Arial"/>
          <w:lang w:val="en-US"/>
        </w:rPr>
      </w:pPr>
      <w:r>
        <w:rPr>
          <w:rFonts w:asciiTheme="majorHAnsi" w:hAnsiTheme="majorHAnsi" w:cs="Arial"/>
          <w:lang w:val="en-US"/>
        </w:rPr>
        <w:t>41</w:t>
      </w:r>
      <w:r w:rsidR="00CE63EE" w:rsidRPr="00E50FC1">
        <w:rPr>
          <w:rFonts w:asciiTheme="majorHAnsi" w:hAnsiTheme="majorHAnsi" w:cs="Arial"/>
          <w:lang w:val="en-US"/>
        </w:rPr>
        <w:t xml:space="preserve">. Mar J, Romero Jurado M, Arrospide A, Enrique Fidalgo A, Soler Lopez B. Cost-analysis of viscosupplementation treatment with hyaluronic acid in candidate knee replacement patients with osteoarthritis. </w:t>
      </w:r>
      <w:r w:rsidR="00CE63EE">
        <w:rPr>
          <w:rFonts w:asciiTheme="majorHAnsi" w:hAnsiTheme="majorHAnsi" w:cs="Arial"/>
          <w:lang w:val="en-US"/>
        </w:rPr>
        <w:t>Rev Esp Cir Ortop Traumatol 2013;57:6-14.</w:t>
      </w:r>
    </w:p>
    <w:p w14:paraId="5FE4346D" w14:textId="77777777" w:rsidR="00CE63EE" w:rsidRPr="00E50FC1" w:rsidRDefault="00CE63EE" w:rsidP="00CE63EE">
      <w:pPr>
        <w:shd w:val="clear" w:color="auto" w:fill="FFFFFF"/>
        <w:rPr>
          <w:rFonts w:asciiTheme="majorHAnsi" w:hAnsiTheme="majorHAnsi" w:cs="Arial"/>
          <w:lang w:val="en-US"/>
        </w:rPr>
      </w:pPr>
    </w:p>
    <w:p w14:paraId="50BC2DF6" w14:textId="4CC74F69" w:rsidR="00CE63EE" w:rsidRDefault="009E4251" w:rsidP="00CE63EE">
      <w:pPr>
        <w:shd w:val="clear" w:color="auto" w:fill="FFFFFF"/>
        <w:rPr>
          <w:rFonts w:asciiTheme="majorHAnsi" w:hAnsiTheme="majorHAnsi" w:cs="Arial"/>
        </w:rPr>
      </w:pPr>
      <w:r w:rsidRPr="004616C6">
        <w:rPr>
          <w:rFonts w:asciiTheme="majorHAnsi" w:hAnsiTheme="majorHAnsi" w:cs="Arial"/>
          <w:lang w:val="en-US"/>
        </w:rPr>
        <w:t>42</w:t>
      </w:r>
      <w:r w:rsidR="00CE63EE" w:rsidRPr="004616C6">
        <w:rPr>
          <w:rFonts w:asciiTheme="majorHAnsi" w:hAnsiTheme="majorHAnsi" w:cs="Arial"/>
          <w:lang w:val="en-US"/>
        </w:rPr>
        <w:t xml:space="preserve">. Bertin P, Rannou F, Grange L, et al. </w:t>
      </w:r>
      <w:r w:rsidR="00CE63EE">
        <w:rPr>
          <w:rFonts w:asciiTheme="majorHAnsi" w:hAnsiTheme="majorHAnsi" w:cs="Arial"/>
          <w:lang w:val="en-US"/>
        </w:rPr>
        <w:t xml:space="preserve">Annual cost of patients with osteoarthritis in France. </w:t>
      </w:r>
      <w:r w:rsidR="00CE63EE" w:rsidRPr="00E573E1">
        <w:rPr>
          <w:rFonts w:asciiTheme="majorHAnsi" w:hAnsiTheme="majorHAnsi" w:cs="Arial"/>
        </w:rPr>
        <w:t>PLOS One 2013 ;submitted (communication personnelle des auteurs).</w:t>
      </w:r>
    </w:p>
    <w:p w14:paraId="00A6D1A5" w14:textId="77777777" w:rsidR="00460D92" w:rsidRDefault="00460D92" w:rsidP="00CE63EE">
      <w:pPr>
        <w:shd w:val="clear" w:color="auto" w:fill="FFFFFF"/>
        <w:rPr>
          <w:rFonts w:asciiTheme="majorHAnsi" w:hAnsiTheme="majorHAnsi" w:cs="Arial"/>
        </w:rPr>
      </w:pPr>
    </w:p>
    <w:p w14:paraId="216F5DEF" w14:textId="52137012" w:rsidR="00460D92" w:rsidRDefault="009E4251" w:rsidP="00460D92">
      <w:pPr>
        <w:shd w:val="clear" w:color="auto" w:fill="FFFFFF"/>
        <w:rPr>
          <w:rFonts w:asciiTheme="majorHAnsi" w:hAnsiTheme="majorHAnsi" w:cs="Arial"/>
          <w:lang w:val="en-US"/>
        </w:rPr>
      </w:pPr>
      <w:r>
        <w:rPr>
          <w:rFonts w:asciiTheme="majorHAnsi" w:hAnsiTheme="majorHAnsi" w:cs="Arial"/>
        </w:rPr>
        <w:t>43</w:t>
      </w:r>
      <w:r w:rsidR="00460D92" w:rsidRPr="00460D92">
        <w:rPr>
          <w:rFonts w:asciiTheme="majorHAnsi" w:hAnsiTheme="majorHAnsi" w:cs="Arial"/>
        </w:rPr>
        <w:t xml:space="preserve">. Memtsoudis SG, Pumberger M, Ma Y, et al. </w:t>
      </w:r>
      <w:r w:rsidR="00460D92">
        <w:rPr>
          <w:rFonts w:asciiTheme="majorHAnsi" w:hAnsiTheme="majorHAnsi" w:cs="Arial"/>
          <w:lang w:val="en-US"/>
        </w:rPr>
        <w:t>Epidemiology and risk factors for perioperative portality after total ip and knee arthroplasty. J Orthop Res 2012;30;1811-21.</w:t>
      </w:r>
    </w:p>
    <w:p w14:paraId="63984D8D" w14:textId="77777777" w:rsidR="00460D92" w:rsidRDefault="00460D92" w:rsidP="00460D92">
      <w:pPr>
        <w:shd w:val="clear" w:color="auto" w:fill="FFFFFF"/>
        <w:rPr>
          <w:rFonts w:asciiTheme="majorHAnsi" w:hAnsiTheme="majorHAnsi" w:cs="Arial"/>
          <w:lang w:val="en-US"/>
        </w:rPr>
      </w:pPr>
    </w:p>
    <w:p w14:paraId="48735308" w14:textId="5C2AB3B7" w:rsidR="00460D92" w:rsidRDefault="009E4251" w:rsidP="00460D92">
      <w:pPr>
        <w:shd w:val="clear" w:color="auto" w:fill="FFFFFF"/>
        <w:rPr>
          <w:rFonts w:asciiTheme="majorHAnsi" w:hAnsiTheme="majorHAnsi" w:cs="Arial"/>
          <w:lang w:val="en-US"/>
        </w:rPr>
      </w:pPr>
      <w:r>
        <w:rPr>
          <w:rFonts w:asciiTheme="majorHAnsi" w:hAnsiTheme="majorHAnsi" w:cs="Arial"/>
          <w:lang w:val="en-US"/>
        </w:rPr>
        <w:t>44</w:t>
      </w:r>
      <w:r w:rsidR="00460D92">
        <w:rPr>
          <w:rFonts w:asciiTheme="majorHAnsi" w:hAnsiTheme="majorHAnsi" w:cs="Arial"/>
          <w:lang w:val="en-US"/>
        </w:rPr>
        <w:t>. Carroll C, Camins B. Knee arthroplasty surgical site infection rates over a ten-year period at a Community Hospital. (Abstract). Am J Infec Control 2013;41:S112-3.</w:t>
      </w:r>
    </w:p>
    <w:p w14:paraId="0B453AC1" w14:textId="77777777" w:rsidR="00460D92" w:rsidRDefault="00460D92" w:rsidP="00460D92">
      <w:pPr>
        <w:shd w:val="clear" w:color="auto" w:fill="FFFFFF"/>
        <w:rPr>
          <w:rFonts w:asciiTheme="majorHAnsi" w:hAnsiTheme="majorHAnsi" w:cs="Arial"/>
          <w:lang w:val="en-US"/>
        </w:rPr>
      </w:pPr>
    </w:p>
    <w:p w14:paraId="79EBBC00" w14:textId="1F21C793" w:rsidR="00460D92" w:rsidRPr="00A50D40" w:rsidRDefault="009E4251" w:rsidP="00460D92">
      <w:pPr>
        <w:shd w:val="clear" w:color="auto" w:fill="FFFFFF"/>
        <w:rPr>
          <w:rFonts w:asciiTheme="majorHAnsi" w:hAnsiTheme="majorHAnsi" w:cs="Arial"/>
          <w:lang w:val="en-US"/>
        </w:rPr>
      </w:pPr>
      <w:r>
        <w:rPr>
          <w:rFonts w:asciiTheme="majorHAnsi" w:hAnsiTheme="majorHAnsi" w:cs="Arial"/>
          <w:lang w:val="en-US"/>
        </w:rPr>
        <w:t>45</w:t>
      </w:r>
      <w:r w:rsidR="00460D92">
        <w:rPr>
          <w:rFonts w:asciiTheme="majorHAnsi" w:hAnsiTheme="majorHAnsi" w:cs="Arial"/>
          <w:lang w:val="en-US"/>
        </w:rPr>
        <w:t>. Rosencher N, Frostick S, Feuring M, et al. Epidemiological data on the incidence of co-morbidities and co-medications in patients undergoing total hip or knee replacement surgery: real-world study and phase III clinical trials. (Abstract). Blood 2012;120:21, abstract 2269.</w:t>
      </w:r>
    </w:p>
    <w:p w14:paraId="1AC562E3" w14:textId="77777777" w:rsidR="00460D92" w:rsidRPr="004616C6" w:rsidRDefault="00460D92" w:rsidP="00CE63EE">
      <w:pPr>
        <w:shd w:val="clear" w:color="auto" w:fill="FFFFFF"/>
        <w:rPr>
          <w:rFonts w:asciiTheme="majorHAnsi" w:hAnsiTheme="majorHAnsi" w:cs="Arial"/>
          <w:lang w:val="en-US"/>
        </w:rPr>
      </w:pPr>
    </w:p>
    <w:p w14:paraId="41C7ED1B" w14:textId="77777777" w:rsidR="00CE63EE" w:rsidRPr="004616C6" w:rsidRDefault="00CE63EE" w:rsidP="00CE63EE">
      <w:pPr>
        <w:shd w:val="clear" w:color="auto" w:fill="FFFFFF"/>
        <w:rPr>
          <w:rFonts w:asciiTheme="majorHAnsi" w:hAnsiTheme="majorHAnsi" w:cs="Arial"/>
          <w:lang w:val="en-US"/>
        </w:rPr>
      </w:pPr>
    </w:p>
    <w:p w14:paraId="0FDF5CC6" w14:textId="77777777" w:rsidR="001A4CA0" w:rsidRPr="004616C6" w:rsidRDefault="001A4CA0">
      <w:pPr>
        <w:rPr>
          <w:rFonts w:asciiTheme="majorHAnsi" w:hAnsiTheme="majorHAnsi" w:cs="Arial"/>
          <w:b/>
          <w:lang w:val="en-US"/>
        </w:rPr>
      </w:pPr>
      <w:r w:rsidRPr="004616C6">
        <w:rPr>
          <w:rFonts w:asciiTheme="majorHAnsi" w:hAnsiTheme="majorHAnsi" w:cs="Arial"/>
          <w:b/>
          <w:lang w:val="en-US"/>
        </w:rPr>
        <w:br w:type="page"/>
      </w:r>
    </w:p>
    <w:p w14:paraId="2A93872A" w14:textId="77777777" w:rsidR="001A4CA0" w:rsidRDefault="001A4CA0" w:rsidP="00CE63EE">
      <w:pPr>
        <w:shd w:val="clear" w:color="auto" w:fill="FFFFFF"/>
        <w:rPr>
          <w:rFonts w:asciiTheme="majorHAnsi" w:hAnsiTheme="majorHAnsi" w:cs="Arial"/>
          <w:b/>
        </w:rPr>
      </w:pPr>
      <w:r>
        <w:rPr>
          <w:rFonts w:asciiTheme="majorHAnsi" w:hAnsiTheme="majorHAnsi" w:cs="Arial"/>
          <w:b/>
        </w:rPr>
        <w:lastRenderedPageBreak/>
        <w:t>Annexes :</w:t>
      </w:r>
    </w:p>
    <w:p w14:paraId="56348C98" w14:textId="77777777" w:rsidR="001A4CA0" w:rsidRDefault="001A4CA0" w:rsidP="00CE63EE">
      <w:pPr>
        <w:shd w:val="clear" w:color="auto" w:fill="FFFFFF"/>
        <w:rPr>
          <w:rFonts w:asciiTheme="majorHAnsi" w:hAnsiTheme="majorHAnsi" w:cs="Arial"/>
          <w:b/>
        </w:rPr>
      </w:pPr>
    </w:p>
    <w:p w14:paraId="1582AC76" w14:textId="39028CA5" w:rsidR="00FF775E" w:rsidRDefault="001A4CA0" w:rsidP="00CE63EE">
      <w:pPr>
        <w:shd w:val="clear" w:color="auto" w:fill="FFFFFF"/>
        <w:rPr>
          <w:rFonts w:asciiTheme="majorHAnsi" w:hAnsiTheme="majorHAnsi" w:cs="Arial"/>
          <w:b/>
        </w:rPr>
      </w:pPr>
      <w:r>
        <w:rPr>
          <w:rFonts w:asciiTheme="majorHAnsi" w:hAnsiTheme="majorHAnsi" w:cs="Arial"/>
          <w:b/>
        </w:rPr>
        <w:t xml:space="preserve">I. </w:t>
      </w:r>
      <w:r w:rsidR="00CE63EE" w:rsidRPr="00FF775E">
        <w:rPr>
          <w:rFonts w:asciiTheme="majorHAnsi" w:hAnsiTheme="majorHAnsi" w:cs="Arial"/>
          <w:b/>
        </w:rPr>
        <w:t xml:space="preserve">Liens d’intérêt </w:t>
      </w:r>
    </w:p>
    <w:p w14:paraId="388C3A93" w14:textId="77777777" w:rsidR="007A7595" w:rsidRDefault="007A7595" w:rsidP="00CE63EE">
      <w:pPr>
        <w:shd w:val="clear" w:color="auto" w:fill="FFFFFF"/>
        <w:rPr>
          <w:rFonts w:asciiTheme="majorHAnsi" w:hAnsiTheme="majorHAnsi" w:cs="Arial"/>
        </w:rPr>
      </w:pPr>
    </w:p>
    <w:p w14:paraId="7D48B892" w14:textId="6777934C" w:rsidR="00CE63EE" w:rsidRPr="007A7595" w:rsidRDefault="00CE63EE" w:rsidP="00CE63EE">
      <w:pPr>
        <w:shd w:val="clear" w:color="auto" w:fill="FFFFFF"/>
        <w:rPr>
          <w:rFonts w:asciiTheme="majorHAnsi" w:hAnsiTheme="majorHAnsi" w:cs="Arial"/>
          <w:b/>
          <w:i/>
        </w:rPr>
      </w:pPr>
      <w:r w:rsidRPr="007A7595">
        <w:rPr>
          <w:rFonts w:asciiTheme="majorHAnsi" w:hAnsiTheme="majorHAnsi" w:cs="Arial"/>
          <w:b/>
          <w:i/>
        </w:rPr>
        <w:t>H</w:t>
      </w:r>
      <w:r w:rsidR="00FF775E" w:rsidRPr="007A7595">
        <w:rPr>
          <w:rFonts w:asciiTheme="majorHAnsi" w:hAnsiTheme="majorHAnsi" w:cs="Arial"/>
          <w:b/>
          <w:i/>
        </w:rPr>
        <w:t>ervé</w:t>
      </w:r>
      <w:r w:rsidRPr="007A7595">
        <w:rPr>
          <w:rFonts w:asciiTheme="majorHAnsi" w:hAnsiTheme="majorHAnsi" w:cs="Arial"/>
          <w:b/>
          <w:i/>
        </w:rPr>
        <w:t xml:space="preserve"> Bard</w:t>
      </w:r>
    </w:p>
    <w:p w14:paraId="69DDA4DC" w14:textId="77777777" w:rsidR="00CE63EE" w:rsidRPr="00E573E1" w:rsidRDefault="00CE63EE" w:rsidP="00CE63EE">
      <w:pPr>
        <w:shd w:val="clear" w:color="auto" w:fill="FFFFFF"/>
        <w:rPr>
          <w:rFonts w:asciiTheme="majorHAnsi" w:hAnsiTheme="majorHAnsi" w:cs="Arial"/>
        </w:rPr>
      </w:pPr>
      <w:r w:rsidRPr="00E573E1">
        <w:rPr>
          <w:rFonts w:asciiTheme="majorHAnsi" w:hAnsiTheme="majorHAnsi" w:cs="Arial"/>
        </w:rPr>
        <w:t>Rottapharm (conférencier séminaires)</w:t>
      </w:r>
    </w:p>
    <w:p w14:paraId="770A7472" w14:textId="77777777" w:rsidR="00CE63EE" w:rsidRPr="00E573E1" w:rsidRDefault="00CE63EE" w:rsidP="00CE63EE">
      <w:pPr>
        <w:shd w:val="clear" w:color="auto" w:fill="FFFFFF"/>
        <w:rPr>
          <w:rFonts w:asciiTheme="majorHAnsi" w:hAnsiTheme="majorHAnsi" w:cs="Arial"/>
        </w:rPr>
      </w:pPr>
      <w:r w:rsidRPr="00E573E1">
        <w:rPr>
          <w:rFonts w:asciiTheme="majorHAnsi" w:hAnsiTheme="majorHAnsi" w:cs="Arial"/>
        </w:rPr>
        <w:t>Sanofi Genzyme (conférencier symposiums, séminaires, conseil scientifique)</w:t>
      </w:r>
    </w:p>
    <w:p w14:paraId="67222229" w14:textId="77777777" w:rsidR="00CE63EE" w:rsidRDefault="00CE63EE" w:rsidP="00CE63EE">
      <w:pPr>
        <w:shd w:val="clear" w:color="auto" w:fill="FFFFFF"/>
        <w:rPr>
          <w:rFonts w:asciiTheme="majorHAnsi" w:hAnsiTheme="majorHAnsi" w:cs="Arial"/>
        </w:rPr>
      </w:pPr>
    </w:p>
    <w:p w14:paraId="276191DC" w14:textId="54CEF2B6" w:rsidR="00FF775E" w:rsidRPr="007A7595" w:rsidRDefault="00FF775E" w:rsidP="00CE63EE">
      <w:pPr>
        <w:shd w:val="clear" w:color="auto" w:fill="FFFFFF"/>
        <w:rPr>
          <w:rFonts w:asciiTheme="majorHAnsi" w:hAnsiTheme="majorHAnsi" w:cs="Arial"/>
          <w:b/>
          <w:i/>
        </w:rPr>
      </w:pPr>
      <w:r w:rsidRPr="007A7595">
        <w:rPr>
          <w:rFonts w:asciiTheme="majorHAnsi" w:hAnsiTheme="majorHAnsi" w:cs="Arial"/>
          <w:b/>
          <w:i/>
        </w:rPr>
        <w:t>Emmanuel Maheu</w:t>
      </w:r>
    </w:p>
    <w:p w14:paraId="23857CB4" w14:textId="49D87055" w:rsidR="00CE63EE" w:rsidRPr="00E573E1" w:rsidRDefault="001B2156" w:rsidP="00CE63EE">
      <w:pPr>
        <w:shd w:val="clear" w:color="auto" w:fill="FFFFFF"/>
        <w:rPr>
          <w:rFonts w:asciiTheme="majorHAnsi" w:hAnsiTheme="majorHAnsi" w:cs="Arial"/>
        </w:rPr>
      </w:pPr>
      <w:r>
        <w:rPr>
          <w:rFonts w:asciiTheme="majorHAnsi" w:hAnsiTheme="majorHAnsi" w:cs="Arial"/>
        </w:rPr>
        <w:t>Rottapharm : co-investigateur essai Go-On vs Hyalgan ; Pierre Fabre : investigateur principal essai Structovial vs Synvisc ; Orateur symposium/séminaire : Expanscience, IBSA-Genévrier, Rottapharm, TRB-Chemedica;</w:t>
      </w:r>
      <w:r w:rsidR="007A7595">
        <w:rPr>
          <w:rFonts w:asciiTheme="majorHAnsi" w:hAnsiTheme="majorHAnsi" w:cs="Arial"/>
        </w:rPr>
        <w:t xml:space="preserve"> Conseil scientifique</w:t>
      </w:r>
      <w:r>
        <w:rPr>
          <w:rFonts w:asciiTheme="majorHAnsi" w:hAnsiTheme="majorHAnsi" w:cs="Arial"/>
        </w:rPr>
        <w:t xml:space="preserve"> ponctuel : Expanscience, Pierre Fabre, Rottapharm ; Board scientifique : Essai SEKOIA – Servier. Responsable programme arthrose digitale ; Comité Scientifique et Co-investigateur Essai ERADIAS </w:t>
      </w:r>
      <w:r w:rsidR="009B0F37">
        <w:rPr>
          <w:rFonts w:asciiTheme="majorHAnsi" w:hAnsiTheme="majorHAnsi" w:cs="Arial"/>
        </w:rPr>
        <w:t>-</w:t>
      </w:r>
      <w:r>
        <w:rPr>
          <w:rFonts w:asciiTheme="majorHAnsi" w:hAnsiTheme="majorHAnsi" w:cs="Arial"/>
        </w:rPr>
        <w:t xml:space="preserve"> Expanscience.</w:t>
      </w:r>
    </w:p>
    <w:p w14:paraId="00346A96" w14:textId="77777777" w:rsidR="001B2156" w:rsidRDefault="001B2156" w:rsidP="00CE63EE">
      <w:pPr>
        <w:shd w:val="clear" w:color="auto" w:fill="FFFFFF"/>
        <w:rPr>
          <w:rFonts w:asciiTheme="majorHAnsi" w:hAnsiTheme="majorHAnsi" w:cs="Arial"/>
          <w:b/>
        </w:rPr>
      </w:pPr>
    </w:p>
    <w:p w14:paraId="75E9B4AF" w14:textId="77777777" w:rsidR="001B2156" w:rsidRDefault="001B2156" w:rsidP="00CE63EE">
      <w:pPr>
        <w:shd w:val="clear" w:color="auto" w:fill="FFFFFF"/>
        <w:rPr>
          <w:rFonts w:asciiTheme="majorHAnsi" w:hAnsiTheme="majorHAnsi" w:cs="Arial"/>
          <w:b/>
        </w:rPr>
      </w:pPr>
    </w:p>
    <w:p w14:paraId="41D5B2C4" w14:textId="31DA5F39" w:rsidR="00F534AB" w:rsidRDefault="001A4CA0" w:rsidP="00CE63EE">
      <w:pPr>
        <w:shd w:val="clear" w:color="auto" w:fill="FFFFFF"/>
        <w:rPr>
          <w:rFonts w:asciiTheme="majorHAnsi" w:hAnsiTheme="majorHAnsi" w:cs="Arial"/>
          <w:b/>
        </w:rPr>
      </w:pPr>
      <w:r>
        <w:rPr>
          <w:rFonts w:asciiTheme="majorHAnsi" w:hAnsiTheme="majorHAnsi" w:cs="Arial"/>
          <w:b/>
        </w:rPr>
        <w:t xml:space="preserve">II. </w:t>
      </w:r>
      <w:r w:rsidR="00CE63EE" w:rsidRPr="00F534AB">
        <w:rPr>
          <w:rFonts w:asciiTheme="majorHAnsi" w:hAnsiTheme="majorHAnsi" w:cs="Arial"/>
          <w:b/>
        </w:rPr>
        <w:t>Biblio</w:t>
      </w:r>
      <w:r w:rsidR="007A7595">
        <w:rPr>
          <w:rFonts w:asciiTheme="majorHAnsi" w:hAnsiTheme="majorHAnsi" w:cs="Arial"/>
          <w:b/>
        </w:rPr>
        <w:t>graphie et</w:t>
      </w:r>
      <w:r w:rsidR="00CE63EE" w:rsidRPr="00F534AB">
        <w:rPr>
          <w:rFonts w:asciiTheme="majorHAnsi" w:hAnsiTheme="majorHAnsi" w:cs="Arial"/>
          <w:b/>
        </w:rPr>
        <w:t xml:space="preserve"> publications </w:t>
      </w:r>
      <w:r w:rsidR="00F534AB" w:rsidRPr="00F534AB">
        <w:rPr>
          <w:rFonts w:asciiTheme="majorHAnsi" w:hAnsiTheme="majorHAnsi" w:cs="Arial"/>
          <w:b/>
        </w:rPr>
        <w:t xml:space="preserve">sur </w:t>
      </w:r>
      <w:r w:rsidR="00F534AB">
        <w:rPr>
          <w:rFonts w:asciiTheme="majorHAnsi" w:hAnsiTheme="majorHAnsi" w:cs="Arial"/>
          <w:b/>
        </w:rPr>
        <w:t xml:space="preserve">les </w:t>
      </w:r>
      <w:r w:rsidR="00F534AB" w:rsidRPr="00F534AB">
        <w:rPr>
          <w:rFonts w:asciiTheme="majorHAnsi" w:hAnsiTheme="majorHAnsi" w:cs="Arial"/>
          <w:b/>
        </w:rPr>
        <w:t xml:space="preserve">AH </w:t>
      </w:r>
      <w:r w:rsidR="00F534AB">
        <w:rPr>
          <w:rFonts w:asciiTheme="majorHAnsi" w:hAnsiTheme="majorHAnsi" w:cs="Arial"/>
          <w:b/>
        </w:rPr>
        <w:t>(</w:t>
      </w:r>
      <w:r w:rsidR="00F534AB" w:rsidRPr="00F534AB">
        <w:rPr>
          <w:rFonts w:asciiTheme="majorHAnsi" w:hAnsiTheme="majorHAnsi" w:cs="Arial"/>
          <w:b/>
        </w:rPr>
        <w:t>et AASAL</w:t>
      </w:r>
      <w:r w:rsidR="00F534AB">
        <w:rPr>
          <w:rFonts w:asciiTheme="majorHAnsi" w:hAnsiTheme="majorHAnsi" w:cs="Arial"/>
          <w:b/>
        </w:rPr>
        <w:t>)</w:t>
      </w:r>
    </w:p>
    <w:p w14:paraId="488862E0" w14:textId="77777777" w:rsidR="00F534AB" w:rsidRDefault="00F534AB" w:rsidP="00CE63EE">
      <w:pPr>
        <w:shd w:val="clear" w:color="auto" w:fill="FFFFFF"/>
        <w:rPr>
          <w:rFonts w:asciiTheme="majorHAnsi" w:hAnsiTheme="majorHAnsi" w:cs="Arial"/>
        </w:rPr>
      </w:pPr>
    </w:p>
    <w:p w14:paraId="50549000" w14:textId="7CA93E23" w:rsidR="00CE63EE" w:rsidRPr="007A7595" w:rsidRDefault="00CE63EE" w:rsidP="00CE63EE">
      <w:pPr>
        <w:shd w:val="clear" w:color="auto" w:fill="FFFFFF"/>
        <w:rPr>
          <w:rFonts w:asciiTheme="majorHAnsi" w:hAnsiTheme="majorHAnsi" w:cs="Arial"/>
          <w:b/>
          <w:i/>
        </w:rPr>
      </w:pPr>
      <w:r w:rsidRPr="007A7595">
        <w:rPr>
          <w:rFonts w:asciiTheme="majorHAnsi" w:hAnsiTheme="majorHAnsi" w:cs="Arial"/>
          <w:b/>
          <w:i/>
        </w:rPr>
        <w:t>H</w:t>
      </w:r>
      <w:r w:rsidR="00F534AB" w:rsidRPr="007A7595">
        <w:rPr>
          <w:rFonts w:asciiTheme="majorHAnsi" w:hAnsiTheme="majorHAnsi" w:cs="Arial"/>
          <w:b/>
          <w:i/>
        </w:rPr>
        <w:t>ervé</w:t>
      </w:r>
      <w:r w:rsidRPr="007A7595">
        <w:rPr>
          <w:rFonts w:asciiTheme="majorHAnsi" w:hAnsiTheme="majorHAnsi" w:cs="Arial"/>
          <w:b/>
          <w:i/>
        </w:rPr>
        <w:t xml:space="preserve"> Bard </w:t>
      </w:r>
    </w:p>
    <w:p w14:paraId="7316496B" w14:textId="77777777" w:rsidR="00E830E0" w:rsidRDefault="00E830E0" w:rsidP="00CE63EE">
      <w:pPr>
        <w:shd w:val="clear" w:color="auto" w:fill="FFFFFF"/>
        <w:rPr>
          <w:rFonts w:asciiTheme="majorHAnsi" w:hAnsiTheme="majorHAnsi" w:cs="Arial"/>
        </w:rPr>
      </w:pPr>
    </w:p>
    <w:p w14:paraId="02B1CB26" w14:textId="494619F3" w:rsidR="00E57549" w:rsidRDefault="00E57549" w:rsidP="00CE63EE">
      <w:pPr>
        <w:shd w:val="clear" w:color="auto" w:fill="FFFFFF"/>
        <w:rPr>
          <w:rFonts w:asciiTheme="majorHAnsi" w:hAnsiTheme="majorHAnsi" w:cs="Arial"/>
        </w:rPr>
      </w:pPr>
      <w:r>
        <w:rPr>
          <w:rFonts w:asciiTheme="majorHAnsi" w:hAnsiTheme="majorHAnsi" w:cs="Arial"/>
        </w:rPr>
        <w:t>8 articles dans des revues relues par les pairs référencés sur PubMed.</w:t>
      </w:r>
    </w:p>
    <w:p w14:paraId="79CB3057" w14:textId="77777777" w:rsidR="00E57549" w:rsidRPr="00E573E1" w:rsidRDefault="00E57549" w:rsidP="00CE63EE">
      <w:pPr>
        <w:shd w:val="clear" w:color="auto" w:fill="FFFFFF"/>
        <w:rPr>
          <w:rFonts w:asciiTheme="majorHAnsi" w:hAnsiTheme="majorHAnsi" w:cs="Arial"/>
        </w:rPr>
      </w:pPr>
    </w:p>
    <w:p w14:paraId="57253899" w14:textId="77777777" w:rsidR="00CF03BE" w:rsidRDefault="00CF03BE" w:rsidP="00CF03BE">
      <w:pPr>
        <w:rPr>
          <w:rFonts w:asciiTheme="majorHAnsi" w:hAnsiTheme="majorHAnsi"/>
          <w:noProof/>
        </w:rPr>
      </w:pPr>
      <w:bookmarkStart w:id="1" w:name="_ENREF_1"/>
      <w:r w:rsidRPr="00F534AB">
        <w:rPr>
          <w:rFonts w:asciiTheme="majorHAnsi" w:hAnsiTheme="majorHAnsi"/>
          <w:noProof/>
        </w:rPr>
        <w:t>1.</w:t>
      </w:r>
      <w:r w:rsidRPr="00F534AB">
        <w:rPr>
          <w:rFonts w:asciiTheme="majorHAnsi" w:hAnsiTheme="majorHAnsi"/>
          <w:noProof/>
        </w:rPr>
        <w:tab/>
        <w:t>Bard H. Mise au point sur l’acide hyaluronique dans l’arthrose. Abstract Rhumato. 2003 (Mai 2003).</w:t>
      </w:r>
      <w:bookmarkEnd w:id="1"/>
    </w:p>
    <w:p w14:paraId="59498960" w14:textId="77777777" w:rsidR="00E540BD" w:rsidRPr="00F534AB" w:rsidRDefault="00E540BD" w:rsidP="00CF03BE">
      <w:pPr>
        <w:rPr>
          <w:rFonts w:asciiTheme="majorHAnsi" w:hAnsiTheme="majorHAnsi"/>
          <w:noProof/>
        </w:rPr>
      </w:pPr>
    </w:p>
    <w:p w14:paraId="49F9354D" w14:textId="36E5B5D0" w:rsidR="00CF03BE" w:rsidRDefault="00CF03BE" w:rsidP="00CF03BE">
      <w:pPr>
        <w:rPr>
          <w:rFonts w:asciiTheme="majorHAnsi" w:hAnsiTheme="majorHAnsi"/>
          <w:noProof/>
        </w:rPr>
      </w:pPr>
      <w:bookmarkStart w:id="2" w:name="_ENREF_2"/>
      <w:r w:rsidRPr="00F534AB">
        <w:rPr>
          <w:rFonts w:asciiTheme="majorHAnsi" w:hAnsiTheme="majorHAnsi"/>
          <w:noProof/>
        </w:rPr>
        <w:t>2.</w:t>
      </w:r>
      <w:r w:rsidRPr="00F534AB">
        <w:rPr>
          <w:rFonts w:asciiTheme="majorHAnsi" w:hAnsiTheme="majorHAnsi"/>
          <w:noProof/>
        </w:rPr>
        <w:tab/>
        <w:t xml:space="preserve">Bard H. </w:t>
      </w:r>
      <w:r w:rsidRPr="00F534AB">
        <w:rPr>
          <w:rFonts w:asciiTheme="majorHAnsi" w:hAnsiTheme="majorHAnsi" w:cs="Arial"/>
          <w:noProof/>
        </w:rPr>
        <w:t>Acide hyaluronique dans la gonarthrose : études comparatives</w:t>
      </w:r>
      <w:r w:rsidRPr="00F534AB">
        <w:rPr>
          <w:rFonts w:asciiTheme="majorHAnsi" w:hAnsiTheme="majorHAnsi"/>
          <w:noProof/>
        </w:rPr>
        <w:t xml:space="preserve">. In: Chevalier X, editor. </w:t>
      </w:r>
      <w:r w:rsidRPr="00F534AB">
        <w:rPr>
          <w:rFonts w:asciiTheme="majorHAnsi" w:hAnsiTheme="majorHAnsi" w:cs="Arial"/>
          <w:noProof/>
        </w:rPr>
        <w:t>Injection d’acide hyaluronique et arthrose</w:t>
      </w:r>
      <w:r w:rsidR="00E573E1" w:rsidRPr="00F534AB">
        <w:rPr>
          <w:rFonts w:asciiTheme="majorHAnsi" w:hAnsiTheme="majorHAnsi"/>
          <w:noProof/>
        </w:rPr>
        <w:t>. Issy les Mx ;</w:t>
      </w:r>
      <w:r w:rsidRPr="00F534AB">
        <w:rPr>
          <w:rFonts w:asciiTheme="majorHAnsi" w:hAnsiTheme="majorHAnsi"/>
          <w:noProof/>
        </w:rPr>
        <w:t xml:space="preserve"> Masson; 2005. p. 61-70.</w:t>
      </w:r>
      <w:bookmarkEnd w:id="2"/>
    </w:p>
    <w:p w14:paraId="75281C76" w14:textId="77777777" w:rsidR="00E540BD" w:rsidRPr="00F534AB" w:rsidRDefault="00E540BD" w:rsidP="00CF03BE">
      <w:pPr>
        <w:rPr>
          <w:rFonts w:asciiTheme="majorHAnsi" w:hAnsiTheme="majorHAnsi"/>
          <w:noProof/>
        </w:rPr>
      </w:pPr>
    </w:p>
    <w:p w14:paraId="787E9E24" w14:textId="77777777" w:rsidR="00CF03BE" w:rsidRDefault="00CF03BE" w:rsidP="00CF03BE">
      <w:pPr>
        <w:rPr>
          <w:rFonts w:asciiTheme="majorHAnsi" w:hAnsiTheme="majorHAnsi"/>
          <w:noProof/>
        </w:rPr>
      </w:pPr>
      <w:bookmarkStart w:id="3" w:name="_ENREF_3"/>
      <w:r w:rsidRPr="00F534AB">
        <w:rPr>
          <w:rFonts w:asciiTheme="majorHAnsi" w:hAnsiTheme="majorHAnsi"/>
          <w:noProof/>
        </w:rPr>
        <w:t>3.</w:t>
      </w:r>
      <w:r w:rsidRPr="00F534AB">
        <w:rPr>
          <w:rFonts w:asciiTheme="majorHAnsi" w:hAnsiTheme="majorHAnsi"/>
          <w:noProof/>
        </w:rPr>
        <w:tab/>
        <w:t>Bard H. Faut-il prescrire des anti-arthrosiques symptomatiques d'action lente? Abstract Rhumato. 2004:?</w:t>
      </w:r>
      <w:bookmarkEnd w:id="3"/>
    </w:p>
    <w:p w14:paraId="1ED8CCFC" w14:textId="77777777" w:rsidR="00E540BD" w:rsidRPr="00F534AB" w:rsidRDefault="00E540BD" w:rsidP="00CF03BE">
      <w:pPr>
        <w:rPr>
          <w:rFonts w:asciiTheme="majorHAnsi" w:hAnsiTheme="majorHAnsi"/>
          <w:noProof/>
        </w:rPr>
      </w:pPr>
    </w:p>
    <w:p w14:paraId="2C85BCBF" w14:textId="77777777" w:rsidR="00CF03BE" w:rsidRDefault="00CF03BE" w:rsidP="00CF03BE">
      <w:pPr>
        <w:rPr>
          <w:rFonts w:asciiTheme="majorHAnsi" w:hAnsiTheme="majorHAnsi"/>
          <w:noProof/>
        </w:rPr>
      </w:pPr>
      <w:bookmarkStart w:id="4" w:name="_ENREF_4"/>
      <w:r w:rsidRPr="00F534AB">
        <w:rPr>
          <w:rFonts w:asciiTheme="majorHAnsi" w:hAnsiTheme="majorHAnsi"/>
          <w:noProof/>
        </w:rPr>
        <w:t>4.</w:t>
      </w:r>
      <w:r w:rsidRPr="00F534AB">
        <w:rPr>
          <w:rFonts w:asciiTheme="majorHAnsi" w:hAnsiTheme="majorHAnsi"/>
          <w:noProof/>
        </w:rPr>
        <w:tab/>
        <w:t xml:space="preserve">Bard H. Prise en charge médicale dans la gonarthrose. </w:t>
      </w:r>
      <w:r w:rsidRPr="00F534AB">
        <w:rPr>
          <w:rFonts w:asciiTheme="majorHAnsi" w:hAnsiTheme="majorHAnsi"/>
          <w:noProof/>
          <w:lang w:val="en-US"/>
        </w:rPr>
        <w:t xml:space="preserve">In: Vande Berg B, Bianchi S, Sans N, Nizard R, Bard H, Cotten A, editors. </w:t>
      </w:r>
      <w:r w:rsidRPr="00F534AB">
        <w:rPr>
          <w:rFonts w:asciiTheme="majorHAnsi" w:hAnsiTheme="majorHAnsi"/>
          <w:noProof/>
        </w:rPr>
        <w:t>Le genou : une approche pluridisciplinaire. XXXIII. Montpellier: Sauramps Médical; 2006. p. 365-78.</w:t>
      </w:r>
      <w:bookmarkEnd w:id="4"/>
    </w:p>
    <w:p w14:paraId="19545B64" w14:textId="77777777" w:rsidR="007A7595" w:rsidRDefault="007A7595" w:rsidP="00CF03BE">
      <w:pPr>
        <w:rPr>
          <w:rFonts w:asciiTheme="majorHAnsi" w:hAnsiTheme="majorHAnsi"/>
          <w:noProof/>
        </w:rPr>
      </w:pPr>
    </w:p>
    <w:p w14:paraId="2FFD1FF3" w14:textId="761A9055" w:rsidR="007A7595" w:rsidRPr="004616C6" w:rsidRDefault="007A7595" w:rsidP="007A7595">
      <w:pPr>
        <w:rPr>
          <w:rFonts w:asciiTheme="majorHAnsi" w:hAnsiTheme="majorHAnsi"/>
          <w:noProof/>
          <w:lang w:val="en-US"/>
        </w:rPr>
      </w:pPr>
      <w:bookmarkStart w:id="5" w:name="_ENREF_9"/>
      <w:r>
        <w:rPr>
          <w:rFonts w:asciiTheme="majorHAnsi" w:hAnsiTheme="majorHAnsi"/>
          <w:noProof/>
        </w:rPr>
        <w:t>5</w:t>
      </w:r>
      <w:r w:rsidRPr="00F534AB">
        <w:rPr>
          <w:rFonts w:asciiTheme="majorHAnsi" w:hAnsiTheme="majorHAnsi"/>
          <w:noProof/>
        </w:rPr>
        <w:t>.</w:t>
      </w:r>
      <w:r w:rsidRPr="00F534AB">
        <w:rPr>
          <w:rFonts w:asciiTheme="majorHAnsi" w:hAnsiTheme="majorHAnsi"/>
          <w:noProof/>
        </w:rPr>
        <w:tab/>
        <w:t xml:space="preserve">Lequesne M, Bard H, Vandici S. Le point sur les anti-arthrosiques d'action lente. </w:t>
      </w:r>
      <w:r w:rsidRPr="00F534AB">
        <w:rPr>
          <w:rFonts w:asciiTheme="majorHAnsi" w:hAnsiTheme="majorHAnsi"/>
          <w:noProof/>
          <w:lang w:val="en-US"/>
        </w:rPr>
        <w:t xml:space="preserve">In: Kahn MF, Bardin T, Meyer O, Orcel P, Lioté F, editors. </w:t>
      </w:r>
      <w:r w:rsidRPr="004616C6">
        <w:rPr>
          <w:rFonts w:asciiTheme="majorHAnsi" w:hAnsiTheme="majorHAnsi"/>
          <w:noProof/>
          <w:lang w:val="en-US"/>
        </w:rPr>
        <w:t>L'Actualité Rhumatologique 2006. Paris: Elsevier; 2006.</w:t>
      </w:r>
      <w:bookmarkEnd w:id="5"/>
    </w:p>
    <w:p w14:paraId="1718DDAE" w14:textId="77777777" w:rsidR="007A7595" w:rsidRPr="004616C6" w:rsidRDefault="007A7595" w:rsidP="00CF03BE">
      <w:pPr>
        <w:rPr>
          <w:rFonts w:asciiTheme="majorHAnsi" w:hAnsiTheme="majorHAnsi"/>
          <w:noProof/>
          <w:lang w:val="en-US"/>
        </w:rPr>
      </w:pPr>
    </w:p>
    <w:p w14:paraId="1079B210" w14:textId="418BD336" w:rsidR="007A7595" w:rsidRPr="004616C6" w:rsidRDefault="007A7595" w:rsidP="007A7595">
      <w:pPr>
        <w:rPr>
          <w:rFonts w:asciiTheme="majorHAnsi" w:hAnsiTheme="majorHAnsi"/>
          <w:noProof/>
        </w:rPr>
      </w:pPr>
      <w:bookmarkStart w:id="6" w:name="_ENREF_8"/>
      <w:r>
        <w:rPr>
          <w:rFonts w:asciiTheme="majorHAnsi" w:hAnsiTheme="majorHAnsi"/>
          <w:noProof/>
          <w:lang w:val="en-US"/>
        </w:rPr>
        <w:t>6</w:t>
      </w:r>
      <w:r w:rsidRPr="00F534AB">
        <w:rPr>
          <w:rFonts w:asciiTheme="majorHAnsi" w:hAnsiTheme="majorHAnsi"/>
          <w:noProof/>
          <w:lang w:val="en-US"/>
        </w:rPr>
        <w:t>.</w:t>
      </w:r>
      <w:r w:rsidRPr="00F534AB">
        <w:rPr>
          <w:rFonts w:asciiTheme="majorHAnsi" w:hAnsiTheme="majorHAnsi"/>
          <w:noProof/>
          <w:lang w:val="en-US"/>
        </w:rPr>
        <w:tab/>
        <w:t xml:space="preserve">Mazieres B, Bard H, Ligier M, Bru I, d'Orsay GG, Le Pen C. Medicoeconomic evaluation of hyaluronic acid for knee osteoarthritis in everyday practice: the MESSAGE study. </w:t>
      </w:r>
      <w:r w:rsidRPr="004616C6">
        <w:rPr>
          <w:rFonts w:asciiTheme="majorHAnsi" w:hAnsiTheme="majorHAnsi"/>
          <w:noProof/>
        </w:rPr>
        <w:t>Joint Bone Spine. 2007;74:453-60.</w:t>
      </w:r>
      <w:bookmarkEnd w:id="6"/>
    </w:p>
    <w:p w14:paraId="7DD5DC84" w14:textId="77777777" w:rsidR="007A7595" w:rsidRPr="004616C6" w:rsidRDefault="007A7595" w:rsidP="00CF03BE">
      <w:pPr>
        <w:rPr>
          <w:rFonts w:asciiTheme="majorHAnsi" w:hAnsiTheme="majorHAnsi"/>
          <w:noProof/>
        </w:rPr>
      </w:pPr>
    </w:p>
    <w:p w14:paraId="21A6B3FF" w14:textId="2DE13D3A" w:rsidR="00CF03BE" w:rsidRDefault="007A7595" w:rsidP="00CF03BE">
      <w:pPr>
        <w:rPr>
          <w:rFonts w:asciiTheme="majorHAnsi" w:hAnsiTheme="majorHAnsi"/>
          <w:noProof/>
        </w:rPr>
      </w:pPr>
      <w:bookmarkStart w:id="7" w:name="_ENREF_5"/>
      <w:r>
        <w:rPr>
          <w:rFonts w:asciiTheme="majorHAnsi" w:hAnsiTheme="majorHAnsi"/>
          <w:noProof/>
        </w:rPr>
        <w:t>7</w:t>
      </w:r>
      <w:r w:rsidR="00CF03BE" w:rsidRPr="00F534AB">
        <w:rPr>
          <w:rFonts w:asciiTheme="majorHAnsi" w:hAnsiTheme="majorHAnsi"/>
          <w:noProof/>
        </w:rPr>
        <w:t>.</w:t>
      </w:r>
      <w:r w:rsidR="00CF03BE" w:rsidRPr="00F534AB">
        <w:rPr>
          <w:rFonts w:asciiTheme="majorHAnsi" w:hAnsiTheme="majorHAnsi"/>
          <w:noProof/>
        </w:rPr>
        <w:tab/>
        <w:t>Bard H. Les acides hyaluroniques injectables sont-ils tous identiques? Reflexions Rhumatologiques. 2007;11(96):7-13.</w:t>
      </w:r>
      <w:bookmarkEnd w:id="7"/>
    </w:p>
    <w:p w14:paraId="5442BCB4" w14:textId="77777777" w:rsidR="007A7595" w:rsidRPr="00F534AB" w:rsidRDefault="007A7595" w:rsidP="00CF03BE">
      <w:pPr>
        <w:rPr>
          <w:rFonts w:asciiTheme="majorHAnsi" w:hAnsiTheme="majorHAnsi"/>
          <w:noProof/>
        </w:rPr>
      </w:pPr>
    </w:p>
    <w:p w14:paraId="1353F17D" w14:textId="0D495ED5" w:rsidR="00CF03BE" w:rsidRDefault="007A7595" w:rsidP="00CF03BE">
      <w:pPr>
        <w:rPr>
          <w:rFonts w:asciiTheme="majorHAnsi" w:hAnsiTheme="majorHAnsi"/>
          <w:noProof/>
        </w:rPr>
      </w:pPr>
      <w:bookmarkStart w:id="8" w:name="_ENREF_6"/>
      <w:r w:rsidRPr="004616C6">
        <w:rPr>
          <w:rFonts w:asciiTheme="majorHAnsi" w:hAnsiTheme="majorHAnsi"/>
          <w:noProof/>
        </w:rPr>
        <w:lastRenderedPageBreak/>
        <w:t>8</w:t>
      </w:r>
      <w:r w:rsidR="00CF03BE" w:rsidRPr="004616C6">
        <w:rPr>
          <w:rFonts w:asciiTheme="majorHAnsi" w:hAnsiTheme="majorHAnsi"/>
          <w:noProof/>
        </w:rPr>
        <w:t>.</w:t>
      </w:r>
      <w:r w:rsidR="00CF03BE" w:rsidRPr="004616C6">
        <w:rPr>
          <w:rFonts w:asciiTheme="majorHAnsi" w:hAnsiTheme="majorHAnsi"/>
          <w:noProof/>
        </w:rPr>
        <w:tab/>
        <w:t xml:space="preserve">Bard H. [Intra-articular injections in osteoarthritis]. </w:t>
      </w:r>
      <w:r w:rsidRPr="004616C6">
        <w:rPr>
          <w:rFonts w:asciiTheme="majorHAnsi" w:hAnsiTheme="majorHAnsi"/>
          <w:noProof/>
        </w:rPr>
        <w:t>Rev Prat. 2012;62:643-50</w:t>
      </w:r>
      <w:r w:rsidR="00CF03BE" w:rsidRPr="004616C6">
        <w:rPr>
          <w:rFonts w:asciiTheme="majorHAnsi" w:hAnsiTheme="majorHAnsi"/>
          <w:noProof/>
        </w:rPr>
        <w:t xml:space="preserve">. </w:t>
      </w:r>
      <w:r w:rsidR="00CF03BE" w:rsidRPr="00F534AB">
        <w:rPr>
          <w:rFonts w:asciiTheme="majorHAnsi" w:hAnsiTheme="majorHAnsi"/>
          <w:noProof/>
        </w:rPr>
        <w:t>Infiltrations intra-articulaires dans l'arthrose.</w:t>
      </w:r>
      <w:bookmarkEnd w:id="8"/>
    </w:p>
    <w:p w14:paraId="52C7B904" w14:textId="77777777" w:rsidR="007A7595" w:rsidRDefault="007A7595" w:rsidP="00CF03BE">
      <w:pPr>
        <w:rPr>
          <w:rFonts w:asciiTheme="majorHAnsi" w:hAnsiTheme="majorHAnsi"/>
          <w:noProof/>
        </w:rPr>
      </w:pPr>
    </w:p>
    <w:p w14:paraId="0146ABD8" w14:textId="6B1FF48B" w:rsidR="007A7595" w:rsidRPr="00F534AB" w:rsidRDefault="007A7595" w:rsidP="007A7595">
      <w:pPr>
        <w:rPr>
          <w:rFonts w:asciiTheme="majorHAnsi" w:hAnsiTheme="majorHAnsi"/>
          <w:noProof/>
        </w:rPr>
      </w:pPr>
      <w:bookmarkStart w:id="9" w:name="_ENREF_10"/>
      <w:r>
        <w:rPr>
          <w:rFonts w:asciiTheme="majorHAnsi" w:hAnsiTheme="majorHAnsi"/>
          <w:noProof/>
        </w:rPr>
        <w:t>9</w:t>
      </w:r>
      <w:r w:rsidRPr="00F534AB">
        <w:rPr>
          <w:rFonts w:asciiTheme="majorHAnsi" w:hAnsiTheme="majorHAnsi"/>
          <w:noProof/>
        </w:rPr>
        <w:t>.</w:t>
      </w:r>
      <w:r w:rsidRPr="00F534AB">
        <w:rPr>
          <w:rFonts w:asciiTheme="majorHAnsi" w:hAnsiTheme="majorHAnsi"/>
          <w:noProof/>
        </w:rPr>
        <w:tab/>
        <w:t xml:space="preserve">Bard H, Legre V. Viscosuplémentation et sport. </w:t>
      </w:r>
      <w:r w:rsidRPr="007A7595">
        <w:rPr>
          <w:rFonts w:asciiTheme="majorHAnsi" w:hAnsiTheme="majorHAnsi"/>
          <w:i/>
          <w:noProof/>
        </w:rPr>
        <w:t>In:</w:t>
      </w:r>
      <w:r w:rsidRPr="00F534AB">
        <w:rPr>
          <w:rFonts w:asciiTheme="majorHAnsi" w:hAnsiTheme="majorHAnsi"/>
          <w:noProof/>
        </w:rPr>
        <w:t xml:space="preserve"> Sans N, Lhoste-Trouilloud A, Cohen M, Guerini H,</w:t>
      </w:r>
      <w:r>
        <w:rPr>
          <w:rFonts w:asciiTheme="majorHAnsi" w:hAnsiTheme="majorHAnsi"/>
          <w:noProof/>
        </w:rPr>
        <w:t xml:space="preserve"> Coudreuse J, Catonne Y, ed</w:t>
      </w:r>
      <w:r w:rsidRPr="00F534AB">
        <w:rPr>
          <w:rFonts w:asciiTheme="majorHAnsi" w:hAnsiTheme="majorHAnsi"/>
          <w:noProof/>
        </w:rPr>
        <w:t>. Imagerie en Traumatologie du Sport. XXXVII. Montpellier: Sauramps Médical; 2010. p</w:t>
      </w:r>
      <w:r>
        <w:rPr>
          <w:rFonts w:asciiTheme="majorHAnsi" w:hAnsiTheme="majorHAnsi"/>
          <w:noProof/>
        </w:rPr>
        <w:t>p</w:t>
      </w:r>
      <w:r w:rsidRPr="00F534AB">
        <w:rPr>
          <w:rFonts w:asciiTheme="majorHAnsi" w:hAnsiTheme="majorHAnsi"/>
          <w:noProof/>
        </w:rPr>
        <w:t>. 535-44.</w:t>
      </w:r>
      <w:bookmarkEnd w:id="9"/>
    </w:p>
    <w:p w14:paraId="67F37119" w14:textId="77777777" w:rsidR="007A7595" w:rsidRPr="00F534AB" w:rsidRDefault="007A7595" w:rsidP="00CF03BE">
      <w:pPr>
        <w:rPr>
          <w:rFonts w:asciiTheme="majorHAnsi" w:hAnsiTheme="majorHAnsi"/>
          <w:noProof/>
        </w:rPr>
      </w:pPr>
    </w:p>
    <w:p w14:paraId="16641690" w14:textId="74AB2AAC" w:rsidR="00CF03BE" w:rsidRPr="004616C6" w:rsidRDefault="007A7595" w:rsidP="00CF03BE">
      <w:pPr>
        <w:rPr>
          <w:rFonts w:asciiTheme="majorHAnsi" w:hAnsiTheme="majorHAnsi"/>
          <w:noProof/>
        </w:rPr>
      </w:pPr>
      <w:bookmarkStart w:id="10" w:name="_ENREF_7"/>
      <w:r>
        <w:rPr>
          <w:rFonts w:asciiTheme="majorHAnsi" w:hAnsiTheme="majorHAnsi"/>
          <w:noProof/>
        </w:rPr>
        <w:t>10</w:t>
      </w:r>
      <w:r w:rsidR="00CF03BE" w:rsidRPr="00F534AB">
        <w:rPr>
          <w:rFonts w:asciiTheme="majorHAnsi" w:hAnsiTheme="majorHAnsi"/>
          <w:noProof/>
        </w:rPr>
        <w:t>.</w:t>
      </w:r>
      <w:r w:rsidR="00CF03BE" w:rsidRPr="00F534AB">
        <w:rPr>
          <w:rFonts w:asciiTheme="majorHAnsi" w:hAnsiTheme="majorHAnsi"/>
          <w:noProof/>
        </w:rPr>
        <w:tab/>
        <w:t xml:space="preserve">Bard H. Existe-t-il un effet classe des acides hyaluroniques utilisés dans la prise en charge médicale de l’arthrose ? </w:t>
      </w:r>
      <w:r w:rsidR="00CF03BE" w:rsidRPr="004616C6">
        <w:rPr>
          <w:rFonts w:asciiTheme="majorHAnsi" w:hAnsiTheme="majorHAnsi"/>
          <w:noProof/>
        </w:rPr>
        <w:t>Rhumatos. 2013;10(mars).</w:t>
      </w:r>
      <w:bookmarkEnd w:id="10"/>
    </w:p>
    <w:p w14:paraId="02094868" w14:textId="77777777" w:rsidR="00CE63EE" w:rsidRPr="00F534AB" w:rsidRDefault="00CE63EE" w:rsidP="00CE63EE">
      <w:pPr>
        <w:shd w:val="clear" w:color="auto" w:fill="FFFFFF"/>
        <w:rPr>
          <w:rFonts w:asciiTheme="majorHAnsi" w:hAnsiTheme="majorHAnsi" w:cs="Arial"/>
        </w:rPr>
      </w:pPr>
    </w:p>
    <w:p w14:paraId="392B5CA7" w14:textId="72FB146F" w:rsidR="003A436C" w:rsidRPr="007A7595" w:rsidRDefault="007A7595">
      <w:pPr>
        <w:rPr>
          <w:rFonts w:asciiTheme="majorHAnsi" w:hAnsiTheme="majorHAnsi"/>
          <w:b/>
          <w:i/>
        </w:rPr>
      </w:pPr>
      <w:r>
        <w:rPr>
          <w:rFonts w:asciiTheme="majorHAnsi" w:hAnsiTheme="majorHAnsi"/>
          <w:b/>
          <w:i/>
        </w:rPr>
        <w:t>Emmanuel</w:t>
      </w:r>
      <w:r w:rsidR="00E573E1" w:rsidRPr="007A7595">
        <w:rPr>
          <w:rFonts w:asciiTheme="majorHAnsi" w:hAnsiTheme="majorHAnsi"/>
          <w:b/>
          <w:i/>
        </w:rPr>
        <w:t xml:space="preserve"> Maheu </w:t>
      </w:r>
    </w:p>
    <w:p w14:paraId="60889703" w14:textId="77777777" w:rsidR="00E830E0" w:rsidRDefault="00E830E0">
      <w:pPr>
        <w:rPr>
          <w:rFonts w:asciiTheme="majorHAnsi" w:hAnsiTheme="majorHAnsi"/>
        </w:rPr>
      </w:pPr>
    </w:p>
    <w:p w14:paraId="37FB32F5" w14:textId="0AF561B3" w:rsidR="00E57549" w:rsidRDefault="00E57549">
      <w:pPr>
        <w:rPr>
          <w:rFonts w:asciiTheme="majorHAnsi" w:hAnsiTheme="majorHAnsi"/>
        </w:rPr>
      </w:pPr>
      <w:r>
        <w:rPr>
          <w:rFonts w:asciiTheme="majorHAnsi" w:hAnsiTheme="majorHAnsi"/>
        </w:rPr>
        <w:t>50 articles dans des revues relues par des pairs référencées sur PubMed.</w:t>
      </w:r>
    </w:p>
    <w:p w14:paraId="3ADEA890" w14:textId="77777777" w:rsidR="00E57549" w:rsidRPr="00F534AB" w:rsidRDefault="00E57549">
      <w:pPr>
        <w:rPr>
          <w:rFonts w:asciiTheme="majorHAnsi" w:hAnsiTheme="majorHAnsi"/>
        </w:rPr>
      </w:pPr>
    </w:p>
    <w:p w14:paraId="3A135500" w14:textId="2F845B43" w:rsidR="00BD158B" w:rsidRDefault="00E540BD" w:rsidP="00E540BD">
      <w:pPr>
        <w:rPr>
          <w:rFonts w:asciiTheme="majorHAnsi" w:hAnsiTheme="majorHAnsi" w:cs="Arial"/>
        </w:rPr>
      </w:pPr>
      <w:r>
        <w:rPr>
          <w:rFonts w:asciiTheme="majorHAnsi" w:hAnsiTheme="majorHAnsi"/>
          <w:noProof/>
        </w:rPr>
        <w:t xml:space="preserve">1. </w:t>
      </w:r>
      <w:r w:rsidRPr="00E4085B">
        <w:rPr>
          <w:rFonts w:asciiTheme="majorHAnsi" w:hAnsiTheme="majorHAnsi"/>
          <w:noProof/>
        </w:rPr>
        <w:t xml:space="preserve">Maheu E, Lamotte J, Lequesne M. </w:t>
      </w:r>
      <w:r>
        <w:rPr>
          <w:rFonts w:asciiTheme="majorHAnsi" w:hAnsiTheme="majorHAnsi"/>
          <w:noProof/>
        </w:rPr>
        <w:t xml:space="preserve">Sel sodique de l’acide hyaluronique (hyaluronan) et </w:t>
      </w:r>
      <w:r w:rsidRPr="001D1F71">
        <w:rPr>
          <w:rFonts w:asciiTheme="majorHAnsi" w:hAnsiTheme="majorHAnsi"/>
          <w:noProof/>
        </w:rPr>
        <w:t xml:space="preserve">gonarthrose. </w:t>
      </w:r>
      <w:r w:rsidRPr="001D1F71">
        <w:rPr>
          <w:rFonts w:asciiTheme="majorHAnsi" w:hAnsiTheme="majorHAnsi" w:cs="Arial"/>
          <w:i/>
        </w:rPr>
        <w:t>In</w:t>
      </w:r>
      <w:r w:rsidRPr="001D1F71">
        <w:rPr>
          <w:rFonts w:asciiTheme="majorHAnsi" w:hAnsiTheme="majorHAnsi" w:cs="Arial"/>
        </w:rPr>
        <w:t xml:space="preserve">: S de Sèze, A Ryckewaert, MF Kahn, D Kuntz, A Dryll, O Meyer, Th Bardin, Cl Guérin, </w:t>
      </w:r>
      <w:r w:rsidRPr="001D1F71">
        <w:rPr>
          <w:rFonts w:asciiTheme="majorHAnsi" w:hAnsiTheme="majorHAnsi" w:cs="Arial"/>
          <w:i/>
        </w:rPr>
        <w:t>L'actualité rhumatologique 1994</w:t>
      </w:r>
      <w:r w:rsidRPr="001D1F71">
        <w:rPr>
          <w:rFonts w:asciiTheme="majorHAnsi" w:hAnsiTheme="majorHAnsi" w:cs="Arial"/>
        </w:rPr>
        <w:t>, Expansion Scientifique Française Ed, Paris, 1994, pp 324-39.</w:t>
      </w:r>
    </w:p>
    <w:p w14:paraId="569A11D2" w14:textId="074C5904" w:rsidR="007A7595" w:rsidRPr="00BD158B" w:rsidRDefault="00BD158B" w:rsidP="00BD158B">
      <w:pPr>
        <w:pStyle w:val="Titre3"/>
        <w:rPr>
          <w:rFonts w:asciiTheme="majorHAnsi" w:hAnsiTheme="majorHAnsi" w:cs="Arial"/>
          <w:b w:val="0"/>
          <w:bCs w:val="0"/>
          <w:color w:val="222222"/>
          <w:sz w:val="24"/>
          <w:szCs w:val="24"/>
        </w:rPr>
      </w:pPr>
      <w:r>
        <w:rPr>
          <w:rFonts w:asciiTheme="majorHAnsi" w:hAnsiTheme="majorHAnsi" w:cs="AdvP6EC0"/>
          <w:b w:val="0"/>
          <w:sz w:val="24"/>
          <w:szCs w:val="24"/>
          <w:lang w:val="en-US"/>
        </w:rPr>
        <w:t>2</w:t>
      </w:r>
      <w:r w:rsidRPr="00FD7D1E">
        <w:rPr>
          <w:rFonts w:asciiTheme="majorHAnsi" w:hAnsiTheme="majorHAnsi" w:cs="AdvP6EC0"/>
          <w:b w:val="0"/>
          <w:sz w:val="24"/>
          <w:szCs w:val="24"/>
          <w:lang w:val="en-US"/>
        </w:rPr>
        <w:t xml:space="preserve">. Maheu E, Guillou GB. </w:t>
      </w:r>
      <w:r w:rsidRPr="00FD7D1E">
        <w:rPr>
          <w:rFonts w:asciiTheme="majorHAnsi" w:hAnsiTheme="majorHAnsi" w:cs="Arial"/>
          <w:b w:val="0"/>
          <w:bCs w:val="0"/>
          <w:color w:val="222222"/>
          <w:sz w:val="24"/>
          <w:szCs w:val="24"/>
          <w:lang w:val="en-US"/>
        </w:rPr>
        <w:t xml:space="preserve">Intra-articular therapy for osteoarthritis of the knee. </w:t>
      </w:r>
      <w:r w:rsidRPr="00F70214">
        <w:rPr>
          <w:rFonts w:asciiTheme="majorHAnsi" w:hAnsiTheme="majorHAnsi" w:cs="Arial"/>
          <w:b w:val="0"/>
          <w:bCs w:val="0"/>
          <w:color w:val="222222"/>
          <w:sz w:val="24"/>
          <w:szCs w:val="24"/>
        </w:rPr>
        <w:t>Prescrire Intern</w:t>
      </w:r>
      <w:r>
        <w:rPr>
          <w:rFonts w:asciiTheme="majorHAnsi" w:hAnsiTheme="majorHAnsi" w:cs="Arial"/>
          <w:b w:val="0"/>
          <w:bCs w:val="0"/>
          <w:color w:val="222222"/>
          <w:sz w:val="24"/>
          <w:szCs w:val="24"/>
        </w:rPr>
        <w:t> </w:t>
      </w:r>
      <w:r w:rsidRPr="00F70214">
        <w:rPr>
          <w:rFonts w:asciiTheme="majorHAnsi" w:hAnsiTheme="majorHAnsi" w:cs="Arial"/>
          <w:b w:val="0"/>
          <w:bCs w:val="0"/>
          <w:color w:val="222222"/>
          <w:sz w:val="24"/>
          <w:szCs w:val="24"/>
        </w:rPr>
        <w:t>1995</w:t>
      </w:r>
      <w:r>
        <w:rPr>
          <w:rFonts w:asciiTheme="majorHAnsi" w:hAnsiTheme="majorHAnsi" w:cs="Arial"/>
          <w:b w:val="0"/>
          <w:bCs w:val="0"/>
          <w:color w:val="222222"/>
          <w:sz w:val="24"/>
          <w:szCs w:val="24"/>
        </w:rPr>
        <w:t>;</w:t>
      </w:r>
      <w:r w:rsidRPr="00F70214">
        <w:rPr>
          <w:rFonts w:asciiTheme="majorHAnsi" w:hAnsiTheme="majorHAnsi" w:cs="Arial"/>
          <w:b w:val="0"/>
          <w:bCs w:val="0"/>
          <w:color w:val="222222"/>
          <w:sz w:val="24"/>
          <w:szCs w:val="24"/>
        </w:rPr>
        <w:t>15</w:t>
      </w:r>
      <w:r>
        <w:rPr>
          <w:rFonts w:asciiTheme="majorHAnsi" w:hAnsiTheme="majorHAnsi" w:cs="Arial"/>
          <w:b w:val="0"/>
          <w:bCs w:val="0"/>
          <w:color w:val="222222"/>
          <w:sz w:val="24"/>
          <w:szCs w:val="24"/>
        </w:rPr>
        <w:t> :  .</w:t>
      </w:r>
    </w:p>
    <w:p w14:paraId="43613E2A" w14:textId="66BD8719" w:rsidR="00E540BD" w:rsidRDefault="00BD158B" w:rsidP="00E540BD">
      <w:pPr>
        <w:shd w:val="clear" w:color="auto" w:fill="FFFFFF"/>
        <w:rPr>
          <w:rFonts w:asciiTheme="majorHAnsi" w:hAnsiTheme="majorHAnsi" w:cs="Arial"/>
        </w:rPr>
      </w:pPr>
      <w:r>
        <w:rPr>
          <w:rFonts w:asciiTheme="majorHAnsi" w:eastAsia="Times New Roman" w:hAnsiTheme="majorHAnsi" w:cs="Arial"/>
        </w:rPr>
        <w:t>3</w:t>
      </w:r>
      <w:r w:rsidR="00E540BD">
        <w:rPr>
          <w:rFonts w:asciiTheme="majorHAnsi" w:eastAsia="Times New Roman" w:hAnsiTheme="majorHAnsi" w:cs="Arial"/>
        </w:rPr>
        <w:t xml:space="preserve">. </w:t>
      </w:r>
      <w:r w:rsidR="00E540BD" w:rsidRPr="00E830E0">
        <w:rPr>
          <w:rFonts w:asciiTheme="majorHAnsi" w:hAnsiTheme="majorHAnsi" w:cs="Arial"/>
        </w:rPr>
        <w:t xml:space="preserve">Lequesne M, Maheu E. Traitements antiarthrosiques. </w:t>
      </w:r>
      <w:r w:rsidR="00E540BD" w:rsidRPr="00E830E0">
        <w:rPr>
          <w:rFonts w:asciiTheme="majorHAnsi" w:hAnsiTheme="majorHAnsi" w:cs="Arial"/>
          <w:i/>
        </w:rPr>
        <w:t>In</w:t>
      </w:r>
      <w:r w:rsidR="00E540BD" w:rsidRPr="00E830E0">
        <w:rPr>
          <w:rFonts w:asciiTheme="majorHAnsi" w:hAnsiTheme="majorHAnsi" w:cs="Arial"/>
        </w:rPr>
        <w:t xml:space="preserve">: Th Bardin, D Kuntz, </w:t>
      </w:r>
      <w:r w:rsidR="00E540BD" w:rsidRPr="00E830E0">
        <w:rPr>
          <w:rFonts w:asciiTheme="majorHAnsi" w:hAnsiTheme="majorHAnsi" w:cs="Arial"/>
          <w:i/>
        </w:rPr>
        <w:t>Thérapeutique Rhumatologique</w:t>
      </w:r>
      <w:r w:rsidR="00E540BD" w:rsidRPr="00E830E0">
        <w:rPr>
          <w:rFonts w:asciiTheme="majorHAnsi" w:hAnsiTheme="majorHAnsi" w:cs="Arial"/>
        </w:rPr>
        <w:t>, Flammarion Ed., Paris, 1995, pp 95-104.</w:t>
      </w:r>
    </w:p>
    <w:p w14:paraId="7A136826" w14:textId="77777777" w:rsidR="00BD158B" w:rsidRPr="00E830E0" w:rsidRDefault="00BD158B" w:rsidP="00E540BD">
      <w:pPr>
        <w:shd w:val="clear" w:color="auto" w:fill="FFFFFF"/>
        <w:rPr>
          <w:rFonts w:asciiTheme="majorHAnsi" w:eastAsia="Times New Roman" w:hAnsiTheme="majorHAnsi" w:cs="Arial"/>
        </w:rPr>
      </w:pPr>
    </w:p>
    <w:p w14:paraId="3E859A07" w14:textId="3AA57F5A" w:rsidR="00E540BD" w:rsidRDefault="00BD158B" w:rsidP="00E540BD">
      <w:pPr>
        <w:autoSpaceDE w:val="0"/>
        <w:autoSpaceDN w:val="0"/>
        <w:adjustRightInd w:val="0"/>
        <w:rPr>
          <w:rFonts w:asciiTheme="majorHAnsi" w:hAnsiTheme="majorHAnsi" w:cs="GaramondITCbyBT-Light"/>
        </w:rPr>
      </w:pPr>
      <w:r>
        <w:rPr>
          <w:rFonts w:asciiTheme="majorHAnsi" w:hAnsiTheme="majorHAnsi" w:cs="GaramondITCbyBT-Light"/>
        </w:rPr>
        <w:t>4</w:t>
      </w:r>
      <w:r w:rsidR="00E540BD">
        <w:rPr>
          <w:rFonts w:asciiTheme="majorHAnsi" w:hAnsiTheme="majorHAnsi" w:cs="GaramondITCbyBT-Light"/>
        </w:rPr>
        <w:t>. Maheu E. Les traitements intra-articulaires dans la gonarthrose (synoviorthèses et lavage articulaire exclus). Réflexions Rhumatologiques 2000;4(33):5-10.</w:t>
      </w:r>
    </w:p>
    <w:p w14:paraId="6FAA8019" w14:textId="77777777" w:rsidR="007A7595" w:rsidRPr="00E830E0" w:rsidRDefault="007A7595" w:rsidP="00E540BD">
      <w:pPr>
        <w:autoSpaceDE w:val="0"/>
        <w:autoSpaceDN w:val="0"/>
        <w:adjustRightInd w:val="0"/>
        <w:rPr>
          <w:rFonts w:asciiTheme="majorHAnsi" w:hAnsiTheme="majorHAnsi" w:cs="Arial"/>
          <w:bCs/>
        </w:rPr>
      </w:pPr>
    </w:p>
    <w:p w14:paraId="40069C1F" w14:textId="7A4027CE" w:rsidR="00E540BD" w:rsidRDefault="00BD158B" w:rsidP="00E540BD">
      <w:pPr>
        <w:shd w:val="clear" w:color="auto" w:fill="FFFFFF"/>
        <w:rPr>
          <w:rFonts w:asciiTheme="majorHAnsi" w:eastAsia="Times New Roman" w:hAnsiTheme="majorHAnsi" w:cs="Arial"/>
          <w:lang w:val="en-US"/>
        </w:rPr>
      </w:pPr>
      <w:r>
        <w:rPr>
          <w:rFonts w:asciiTheme="majorHAnsi" w:eastAsia="Times New Roman" w:hAnsiTheme="majorHAnsi" w:cs="Arial"/>
          <w:bCs/>
        </w:rPr>
        <w:t>5</w:t>
      </w:r>
      <w:r w:rsidR="00E540BD" w:rsidRPr="00E830E0">
        <w:rPr>
          <w:rFonts w:asciiTheme="majorHAnsi" w:eastAsia="Times New Roman" w:hAnsiTheme="majorHAnsi" w:cs="Arial"/>
          <w:bCs/>
        </w:rPr>
        <w:t xml:space="preserve">. </w:t>
      </w:r>
      <w:r w:rsidR="00E540BD" w:rsidRPr="005A04DD">
        <w:rPr>
          <w:rFonts w:asciiTheme="majorHAnsi" w:eastAsia="Times New Roman" w:hAnsiTheme="majorHAnsi" w:cs="Arial"/>
          <w:bCs/>
        </w:rPr>
        <w:t>Maheu E</w:t>
      </w:r>
      <w:r w:rsidR="00E540BD" w:rsidRPr="005A04DD">
        <w:rPr>
          <w:rFonts w:asciiTheme="majorHAnsi" w:eastAsia="Times New Roman" w:hAnsiTheme="majorHAnsi" w:cs="Arial"/>
        </w:rPr>
        <w:t>, Ayral X, Dougados M.</w:t>
      </w:r>
      <w:r w:rsidR="00E540BD" w:rsidRPr="00E830E0">
        <w:rPr>
          <w:rFonts w:asciiTheme="majorHAnsi" w:eastAsia="Times New Roman" w:hAnsiTheme="majorHAnsi" w:cs="Arial"/>
        </w:rPr>
        <w:t xml:space="preserve"> </w:t>
      </w:r>
      <w:hyperlink r:id="rId28" w:history="1">
        <w:r w:rsidR="00E540BD" w:rsidRPr="005A04DD">
          <w:rPr>
            <w:rFonts w:asciiTheme="majorHAnsi" w:eastAsia="Times New Roman" w:hAnsiTheme="majorHAnsi" w:cs="Arial"/>
            <w:lang w:val="en-US"/>
          </w:rPr>
          <w:t>A hyaluronan preparation (500-730 kDa) in the treatment of osteoarthritis: a review of clinical trials with Hyalgan.</w:t>
        </w:r>
      </w:hyperlink>
      <w:r w:rsidR="00E540BD">
        <w:rPr>
          <w:rFonts w:asciiTheme="majorHAnsi" w:eastAsia="Times New Roman" w:hAnsiTheme="majorHAnsi" w:cs="Arial"/>
          <w:lang w:val="en-US"/>
        </w:rPr>
        <w:t xml:space="preserve"> </w:t>
      </w:r>
      <w:r w:rsidR="00E540BD" w:rsidRPr="00E540BD">
        <w:rPr>
          <w:rFonts w:asciiTheme="majorHAnsi" w:eastAsia="Times New Roman" w:hAnsiTheme="majorHAnsi" w:cs="Arial"/>
          <w:lang w:val="en-US"/>
        </w:rPr>
        <w:t>Int J Clin Pract. 2002;56:804-13.</w:t>
      </w:r>
    </w:p>
    <w:p w14:paraId="7B0144FA" w14:textId="77777777" w:rsidR="007A7595" w:rsidRPr="00E540BD" w:rsidRDefault="007A7595" w:rsidP="00E540BD">
      <w:pPr>
        <w:shd w:val="clear" w:color="auto" w:fill="FFFFFF"/>
        <w:rPr>
          <w:rFonts w:asciiTheme="majorHAnsi" w:eastAsia="Times New Roman" w:hAnsiTheme="majorHAnsi" w:cs="Arial"/>
          <w:lang w:val="en-US"/>
        </w:rPr>
      </w:pPr>
    </w:p>
    <w:p w14:paraId="7614B775" w14:textId="6BFD78F0" w:rsidR="00E540BD" w:rsidRPr="00BD158B" w:rsidRDefault="00BD158B" w:rsidP="00E540BD">
      <w:pPr>
        <w:shd w:val="clear" w:color="auto" w:fill="FFFFFF"/>
        <w:rPr>
          <w:rFonts w:asciiTheme="majorHAnsi" w:eastAsia="Times New Roman" w:hAnsiTheme="majorHAnsi" w:cs="Arial"/>
        </w:rPr>
      </w:pPr>
      <w:r>
        <w:rPr>
          <w:rFonts w:asciiTheme="majorHAnsi" w:eastAsia="Times New Roman" w:hAnsiTheme="majorHAnsi" w:cs="Arial"/>
          <w:lang w:val="en-US"/>
        </w:rPr>
        <w:t>6</w:t>
      </w:r>
      <w:r w:rsidR="00E540BD">
        <w:rPr>
          <w:rFonts w:asciiTheme="majorHAnsi" w:eastAsia="Times New Roman" w:hAnsiTheme="majorHAnsi" w:cs="Arial"/>
          <w:lang w:val="en-US"/>
        </w:rPr>
        <w:t xml:space="preserve">. </w:t>
      </w:r>
      <w:r w:rsidR="00E540BD" w:rsidRPr="001A3870">
        <w:rPr>
          <w:rFonts w:asciiTheme="majorHAnsi" w:eastAsia="Times New Roman" w:hAnsiTheme="majorHAnsi" w:cs="Arial"/>
          <w:lang w:val="en-US"/>
        </w:rPr>
        <w:t>Maheu E, Bonvarlet JP, and the Paris Associ</w:t>
      </w:r>
      <w:r w:rsidR="007A7595">
        <w:rPr>
          <w:rFonts w:asciiTheme="majorHAnsi" w:eastAsia="Times New Roman" w:hAnsiTheme="majorHAnsi" w:cs="Arial"/>
          <w:lang w:val="en-US"/>
        </w:rPr>
        <w:t xml:space="preserve">ation of Rheumatologists. Acute pseudo-septic </w:t>
      </w:r>
      <w:r w:rsidR="00E540BD" w:rsidRPr="001A3870">
        <w:rPr>
          <w:rFonts w:asciiTheme="majorHAnsi" w:eastAsia="Times New Roman" w:hAnsiTheme="majorHAnsi" w:cs="Arial"/>
          <w:lang w:val="en-US"/>
        </w:rPr>
        <w:t>arthritis post-hyaluronane (HA) intr</w:t>
      </w:r>
      <w:r w:rsidR="007A7595">
        <w:rPr>
          <w:rFonts w:asciiTheme="majorHAnsi" w:eastAsia="Times New Roman" w:hAnsiTheme="majorHAnsi" w:cs="Arial"/>
          <w:lang w:val="en-US"/>
        </w:rPr>
        <w:t xml:space="preserve">a-articular injections. Results </w:t>
      </w:r>
      <w:r w:rsidR="00E540BD" w:rsidRPr="001A3870">
        <w:rPr>
          <w:rFonts w:asciiTheme="majorHAnsi" w:eastAsia="Times New Roman" w:hAnsiTheme="majorHAnsi" w:cs="Arial"/>
          <w:lang w:val="en-US"/>
        </w:rPr>
        <w:t>of a French s</w:t>
      </w:r>
      <w:r w:rsidR="007A7595">
        <w:rPr>
          <w:rFonts w:asciiTheme="majorHAnsi" w:eastAsia="Times New Roman" w:hAnsiTheme="majorHAnsi" w:cs="Arial"/>
          <w:lang w:val="en-US"/>
        </w:rPr>
        <w:t xml:space="preserve">urvey in </w:t>
      </w:r>
      <w:r w:rsidR="00E540BD" w:rsidRPr="001A3870">
        <w:rPr>
          <w:rFonts w:asciiTheme="majorHAnsi" w:eastAsia="Times New Roman" w:hAnsiTheme="majorHAnsi" w:cs="Arial"/>
          <w:lang w:val="en-US"/>
        </w:rPr>
        <w:t xml:space="preserve">rheumatology practice (Abstract). </w:t>
      </w:r>
      <w:r w:rsidR="00E540BD" w:rsidRPr="001A3870">
        <w:rPr>
          <w:rFonts w:asciiTheme="majorHAnsi" w:eastAsia="Times New Roman" w:hAnsiTheme="majorHAnsi" w:cs="Arial"/>
        </w:rPr>
        <w:t>Ann Rheum Dis 2003;62(Suppl.1):268.</w:t>
      </w:r>
    </w:p>
    <w:p w14:paraId="7AC01B6F" w14:textId="77777777" w:rsidR="007A7595" w:rsidRDefault="007A7595" w:rsidP="00E540BD">
      <w:pPr>
        <w:shd w:val="clear" w:color="auto" w:fill="FFFFFF"/>
        <w:rPr>
          <w:rFonts w:asciiTheme="majorHAnsi" w:eastAsia="Times New Roman" w:hAnsiTheme="majorHAnsi" w:cs="Arial"/>
        </w:rPr>
      </w:pPr>
    </w:p>
    <w:p w14:paraId="5355452E" w14:textId="2FD812CB" w:rsidR="00E540BD" w:rsidRDefault="00BD158B" w:rsidP="00E540BD">
      <w:pPr>
        <w:tabs>
          <w:tab w:val="num" w:pos="567"/>
        </w:tabs>
        <w:ind w:right="5"/>
        <w:jc w:val="both"/>
        <w:rPr>
          <w:rFonts w:asciiTheme="majorHAnsi" w:hAnsiTheme="majorHAnsi" w:cs="Arial"/>
        </w:rPr>
      </w:pPr>
      <w:r>
        <w:rPr>
          <w:rFonts w:asciiTheme="majorHAnsi" w:hAnsiTheme="majorHAnsi" w:cs="Arial"/>
          <w:bCs/>
        </w:rPr>
        <w:t>7</w:t>
      </w:r>
      <w:r w:rsidR="00E540BD">
        <w:rPr>
          <w:rFonts w:asciiTheme="majorHAnsi" w:hAnsiTheme="majorHAnsi" w:cs="Arial"/>
          <w:bCs/>
        </w:rPr>
        <w:t xml:space="preserve">. </w:t>
      </w:r>
      <w:r w:rsidR="00E540BD" w:rsidRPr="001D1F71">
        <w:rPr>
          <w:rFonts w:asciiTheme="majorHAnsi" w:hAnsiTheme="majorHAnsi" w:cs="Arial"/>
          <w:bCs/>
        </w:rPr>
        <w:t>Maheu E</w:t>
      </w:r>
      <w:r w:rsidR="00E540BD" w:rsidRPr="001D1F71">
        <w:rPr>
          <w:rFonts w:asciiTheme="majorHAnsi" w:hAnsiTheme="majorHAnsi" w:cs="Arial"/>
        </w:rPr>
        <w:t xml:space="preserve">. Acide hyaluronique et gonarthrose. </w:t>
      </w:r>
      <w:r w:rsidR="00E540BD" w:rsidRPr="001D1F71">
        <w:rPr>
          <w:rFonts w:asciiTheme="majorHAnsi" w:hAnsiTheme="majorHAnsi" w:cs="Arial"/>
          <w:i/>
          <w:iCs/>
        </w:rPr>
        <w:t>In :</w:t>
      </w:r>
      <w:r w:rsidR="00E540BD" w:rsidRPr="001D1F71">
        <w:rPr>
          <w:rFonts w:asciiTheme="majorHAnsi" w:hAnsiTheme="majorHAnsi" w:cs="Arial"/>
        </w:rPr>
        <w:t xml:space="preserve"> Hérisson C, Codine P, Brun V, L’arthrose du genou.  Masson éd., Paris, 2004, pp 60-64.</w:t>
      </w:r>
    </w:p>
    <w:p w14:paraId="47D37FBB" w14:textId="77777777" w:rsidR="0083029C" w:rsidRDefault="0083029C" w:rsidP="00E540BD">
      <w:pPr>
        <w:tabs>
          <w:tab w:val="num" w:pos="567"/>
        </w:tabs>
        <w:ind w:right="5"/>
        <w:jc w:val="both"/>
        <w:rPr>
          <w:rFonts w:asciiTheme="majorHAnsi" w:hAnsiTheme="majorHAnsi" w:cs="Arial"/>
        </w:rPr>
      </w:pPr>
    </w:p>
    <w:p w14:paraId="73806214" w14:textId="66496A5B" w:rsidR="00E540BD" w:rsidRDefault="00BD158B" w:rsidP="00E540BD">
      <w:pPr>
        <w:autoSpaceDE w:val="0"/>
        <w:autoSpaceDN w:val="0"/>
        <w:adjustRightInd w:val="0"/>
        <w:rPr>
          <w:rFonts w:asciiTheme="majorHAnsi" w:hAnsiTheme="majorHAnsi" w:cs="GaramondITCbyBT-Light"/>
        </w:rPr>
      </w:pPr>
      <w:r>
        <w:rPr>
          <w:rFonts w:asciiTheme="majorHAnsi" w:hAnsiTheme="majorHAnsi" w:cs="GaramondITCbyBT-Light"/>
        </w:rPr>
        <w:t>8</w:t>
      </w:r>
      <w:r w:rsidR="00E540BD">
        <w:rPr>
          <w:rFonts w:asciiTheme="majorHAnsi" w:hAnsiTheme="majorHAnsi" w:cs="GaramondITCbyBT-Light"/>
        </w:rPr>
        <w:t xml:space="preserve">. Maheu E. </w:t>
      </w:r>
      <w:r w:rsidR="00E540BD" w:rsidRPr="00F07C0F">
        <w:rPr>
          <w:rFonts w:asciiTheme="majorHAnsi" w:hAnsiTheme="majorHAnsi" w:cs="Helvetica-ExtraCompressed"/>
        </w:rPr>
        <w:t xml:space="preserve">Injection intra-articulaire d’acide hyaluronique </w:t>
      </w:r>
      <w:r w:rsidR="00E540BD" w:rsidRPr="00F07C0F">
        <w:rPr>
          <w:rFonts w:asciiTheme="majorHAnsi" w:hAnsiTheme="majorHAnsi" w:cs="Arial"/>
          <w:bCs/>
        </w:rPr>
        <w:t>Existe-t-il d’au</w:t>
      </w:r>
      <w:r w:rsidR="00E540BD">
        <w:rPr>
          <w:rFonts w:asciiTheme="majorHAnsi" w:hAnsiTheme="majorHAnsi" w:cs="Arial"/>
          <w:bCs/>
        </w:rPr>
        <w:t xml:space="preserve">tres applications possibles que </w:t>
      </w:r>
      <w:r w:rsidR="00E540BD" w:rsidRPr="00F07C0F">
        <w:rPr>
          <w:rFonts w:asciiTheme="majorHAnsi" w:hAnsiTheme="majorHAnsi" w:cs="Arial"/>
          <w:bCs/>
        </w:rPr>
        <w:t>la gonarthrose pour les hyaluronanes ?</w:t>
      </w:r>
      <w:r w:rsidR="00E540BD">
        <w:rPr>
          <w:rFonts w:asciiTheme="majorHAnsi" w:hAnsiTheme="majorHAnsi" w:cs="Arial"/>
          <w:bCs/>
        </w:rPr>
        <w:t xml:space="preserve"> </w:t>
      </w:r>
      <w:r w:rsidR="0083029C">
        <w:rPr>
          <w:rFonts w:asciiTheme="majorHAnsi" w:hAnsiTheme="majorHAnsi" w:cs="GaramondITCbyBT-Light"/>
        </w:rPr>
        <w:t xml:space="preserve">Réflexions Rhumatologiques </w:t>
      </w:r>
      <w:r w:rsidR="00E540BD">
        <w:rPr>
          <w:rFonts w:asciiTheme="majorHAnsi" w:hAnsiTheme="majorHAnsi" w:cs="GaramondITCbyBT-Light"/>
        </w:rPr>
        <w:t>2004;8(68):19-22.</w:t>
      </w:r>
    </w:p>
    <w:p w14:paraId="6E701719" w14:textId="77777777" w:rsidR="0083029C" w:rsidRDefault="0083029C" w:rsidP="00E540BD">
      <w:pPr>
        <w:autoSpaceDE w:val="0"/>
        <w:autoSpaceDN w:val="0"/>
        <w:adjustRightInd w:val="0"/>
        <w:rPr>
          <w:rFonts w:asciiTheme="majorHAnsi" w:hAnsiTheme="majorHAnsi" w:cs="GaramondITCbyBT-Light"/>
        </w:rPr>
      </w:pPr>
    </w:p>
    <w:p w14:paraId="76109303" w14:textId="0018D5CF" w:rsidR="00E573E1" w:rsidRDefault="00BD158B">
      <w:pPr>
        <w:rPr>
          <w:rFonts w:asciiTheme="majorHAnsi" w:hAnsiTheme="majorHAnsi"/>
          <w:noProof/>
        </w:rPr>
      </w:pPr>
      <w:r>
        <w:rPr>
          <w:rFonts w:asciiTheme="majorHAnsi" w:hAnsiTheme="majorHAnsi"/>
        </w:rPr>
        <w:t>9</w:t>
      </w:r>
      <w:r w:rsidR="00E830E0">
        <w:rPr>
          <w:rFonts w:asciiTheme="majorHAnsi" w:hAnsiTheme="majorHAnsi"/>
        </w:rPr>
        <w:t xml:space="preserve">. </w:t>
      </w:r>
      <w:r w:rsidR="00E573E1" w:rsidRPr="00F534AB">
        <w:rPr>
          <w:rFonts w:asciiTheme="majorHAnsi" w:hAnsiTheme="majorHAnsi"/>
        </w:rPr>
        <w:t xml:space="preserve">Maheu E. Acide hyaluronique dans la gonarthrose : efficacité versus placebo. </w:t>
      </w:r>
      <w:r w:rsidR="00E573E1" w:rsidRPr="0083029C">
        <w:rPr>
          <w:rFonts w:asciiTheme="majorHAnsi" w:hAnsiTheme="majorHAnsi"/>
          <w:i/>
          <w:noProof/>
        </w:rPr>
        <w:t>In:</w:t>
      </w:r>
      <w:r w:rsidR="00E573E1" w:rsidRPr="00F534AB">
        <w:rPr>
          <w:rFonts w:asciiTheme="majorHAnsi" w:hAnsiTheme="majorHAnsi"/>
          <w:noProof/>
        </w:rPr>
        <w:t xml:space="preserve"> Chevalier X, editor. </w:t>
      </w:r>
      <w:r w:rsidR="00E573E1" w:rsidRPr="00F534AB">
        <w:rPr>
          <w:rFonts w:asciiTheme="majorHAnsi" w:hAnsiTheme="majorHAnsi" w:cs="Arial"/>
          <w:noProof/>
        </w:rPr>
        <w:t>Injection d’acide hyaluronique et arthrose. Du concept à l’application clinique</w:t>
      </w:r>
      <w:r w:rsidR="00E573E1" w:rsidRPr="00F534AB">
        <w:rPr>
          <w:rFonts w:asciiTheme="majorHAnsi" w:hAnsiTheme="majorHAnsi"/>
          <w:noProof/>
        </w:rPr>
        <w:t>. Issy les M</w:t>
      </w:r>
      <w:r w:rsidR="00F534AB">
        <w:rPr>
          <w:rFonts w:asciiTheme="majorHAnsi" w:hAnsiTheme="majorHAnsi"/>
          <w:noProof/>
        </w:rPr>
        <w:t>oulineau</w:t>
      </w:r>
      <w:r w:rsidR="00E573E1" w:rsidRPr="00F534AB">
        <w:rPr>
          <w:rFonts w:asciiTheme="majorHAnsi" w:hAnsiTheme="majorHAnsi"/>
          <w:noProof/>
        </w:rPr>
        <w:t>x ; Masson</w:t>
      </w:r>
      <w:r w:rsidR="00F534AB">
        <w:rPr>
          <w:rFonts w:asciiTheme="majorHAnsi" w:hAnsiTheme="majorHAnsi"/>
          <w:noProof/>
        </w:rPr>
        <w:t xml:space="preserve"> Ed.</w:t>
      </w:r>
      <w:r w:rsidR="00E573E1" w:rsidRPr="00F534AB">
        <w:rPr>
          <w:rFonts w:asciiTheme="majorHAnsi" w:hAnsiTheme="majorHAnsi"/>
          <w:noProof/>
        </w:rPr>
        <w:t>; 2005, pp 41-60.</w:t>
      </w:r>
    </w:p>
    <w:p w14:paraId="5D3300A8" w14:textId="77777777" w:rsidR="0083029C" w:rsidRDefault="0083029C">
      <w:pPr>
        <w:rPr>
          <w:rFonts w:asciiTheme="majorHAnsi" w:hAnsiTheme="majorHAnsi"/>
          <w:noProof/>
        </w:rPr>
      </w:pPr>
    </w:p>
    <w:p w14:paraId="65428BC7" w14:textId="4CC8001F" w:rsidR="00F534AB" w:rsidRDefault="00BD158B" w:rsidP="00DD7FD8">
      <w:pPr>
        <w:autoSpaceDE w:val="0"/>
        <w:autoSpaceDN w:val="0"/>
        <w:adjustRightInd w:val="0"/>
        <w:rPr>
          <w:rFonts w:asciiTheme="majorHAnsi" w:hAnsiTheme="majorHAnsi"/>
          <w:noProof/>
        </w:rPr>
      </w:pPr>
      <w:r>
        <w:rPr>
          <w:rFonts w:asciiTheme="majorHAnsi" w:hAnsiTheme="majorHAnsi"/>
          <w:noProof/>
        </w:rPr>
        <w:lastRenderedPageBreak/>
        <w:t>10</w:t>
      </w:r>
      <w:r w:rsidR="00E830E0">
        <w:rPr>
          <w:rFonts w:asciiTheme="majorHAnsi" w:hAnsiTheme="majorHAnsi"/>
          <w:noProof/>
        </w:rPr>
        <w:t xml:space="preserve">. </w:t>
      </w:r>
      <w:r w:rsidR="00DD7FD8">
        <w:rPr>
          <w:rFonts w:asciiTheme="majorHAnsi" w:hAnsiTheme="majorHAnsi"/>
          <w:noProof/>
        </w:rPr>
        <w:t xml:space="preserve">Maheu E. </w:t>
      </w:r>
      <w:r w:rsidR="00DD7FD8" w:rsidRPr="00DD7FD8">
        <w:rPr>
          <w:rFonts w:asciiTheme="majorHAnsi" w:hAnsiTheme="majorHAnsi" w:cs="Present-Bold"/>
          <w:bCs/>
        </w:rPr>
        <w:t>Actu</w:t>
      </w:r>
      <w:r w:rsidR="00DD7FD8">
        <w:rPr>
          <w:rFonts w:asciiTheme="majorHAnsi" w:hAnsiTheme="majorHAnsi" w:cs="Present-Bold"/>
          <w:bCs/>
        </w:rPr>
        <w:t xml:space="preserve">alités des acides hyaluroniques </w:t>
      </w:r>
      <w:r w:rsidR="00DD7FD8" w:rsidRPr="00DD7FD8">
        <w:rPr>
          <w:rFonts w:asciiTheme="majorHAnsi" w:hAnsiTheme="majorHAnsi" w:cs="Present-Bold"/>
          <w:bCs/>
        </w:rPr>
        <w:t>e</w:t>
      </w:r>
      <w:r w:rsidR="00DD7FD8">
        <w:rPr>
          <w:rFonts w:asciiTheme="majorHAnsi" w:hAnsiTheme="majorHAnsi" w:cs="Present-Bold"/>
          <w:bCs/>
        </w:rPr>
        <w:t>n</w:t>
      </w:r>
      <w:r w:rsidR="0083029C">
        <w:rPr>
          <w:rFonts w:asciiTheme="majorHAnsi" w:hAnsiTheme="majorHAnsi" w:cs="Present-Bold"/>
          <w:bCs/>
        </w:rPr>
        <w:t xml:space="preserve"> rhumatologie en dix questions. </w:t>
      </w:r>
      <w:r w:rsidR="00DD7FD8">
        <w:rPr>
          <w:rFonts w:asciiTheme="majorHAnsi" w:hAnsiTheme="majorHAnsi" w:cs="Formata-Italic"/>
          <w:iCs/>
        </w:rPr>
        <w:t xml:space="preserve">La </w:t>
      </w:r>
      <w:r w:rsidR="00DD7FD8">
        <w:rPr>
          <w:rFonts w:asciiTheme="majorHAnsi" w:hAnsiTheme="majorHAnsi"/>
          <w:noProof/>
        </w:rPr>
        <w:t>Lettre du Rhumatologue 2005, 314 :25-34.</w:t>
      </w:r>
    </w:p>
    <w:p w14:paraId="619D3BD2" w14:textId="77777777" w:rsidR="0083029C" w:rsidRDefault="0083029C" w:rsidP="00DD7FD8">
      <w:pPr>
        <w:autoSpaceDE w:val="0"/>
        <w:autoSpaceDN w:val="0"/>
        <w:adjustRightInd w:val="0"/>
        <w:rPr>
          <w:rFonts w:asciiTheme="majorHAnsi" w:hAnsiTheme="majorHAnsi"/>
          <w:noProof/>
        </w:rPr>
      </w:pPr>
    </w:p>
    <w:p w14:paraId="0DF790E5" w14:textId="6C2A5962" w:rsidR="007C5585" w:rsidRDefault="00BD158B" w:rsidP="007C5585">
      <w:pPr>
        <w:autoSpaceDE w:val="0"/>
        <w:autoSpaceDN w:val="0"/>
        <w:adjustRightInd w:val="0"/>
        <w:rPr>
          <w:rFonts w:asciiTheme="majorHAnsi" w:hAnsiTheme="majorHAnsi" w:cs="GaramondITCbyBT-Light"/>
        </w:rPr>
      </w:pPr>
      <w:r>
        <w:rPr>
          <w:rFonts w:asciiTheme="majorHAnsi" w:hAnsiTheme="majorHAnsi" w:cs="HelveticaNeue-LightExt"/>
        </w:rPr>
        <w:t>11</w:t>
      </w:r>
      <w:r w:rsidR="00E830E0">
        <w:rPr>
          <w:rFonts w:asciiTheme="majorHAnsi" w:hAnsiTheme="majorHAnsi" w:cs="HelveticaNeue-LightExt"/>
        </w:rPr>
        <w:t xml:space="preserve">. </w:t>
      </w:r>
      <w:r w:rsidR="007C5585" w:rsidRPr="007C5585">
        <w:rPr>
          <w:rFonts w:asciiTheme="majorHAnsi" w:hAnsiTheme="majorHAnsi" w:cs="HelveticaNeue-LightExt"/>
        </w:rPr>
        <w:t>Maheu E. Analyse des méta-anal</w:t>
      </w:r>
      <w:r w:rsidR="007C5585">
        <w:rPr>
          <w:rFonts w:asciiTheme="majorHAnsi" w:hAnsiTheme="majorHAnsi" w:cs="HelveticaNeue-LightExt"/>
        </w:rPr>
        <w:t xml:space="preserve">yses des acides hyaluroniques : </w:t>
      </w:r>
      <w:r w:rsidR="007C5585" w:rsidRPr="007C5585">
        <w:rPr>
          <w:rFonts w:asciiTheme="majorHAnsi" w:hAnsiTheme="majorHAnsi" w:cs="HelveticaNeue-LightExt"/>
        </w:rPr>
        <w:t xml:space="preserve">d’où viennent les discordances ? </w:t>
      </w:r>
      <w:r w:rsidR="007C5585">
        <w:rPr>
          <w:rFonts w:asciiTheme="majorHAnsi" w:hAnsiTheme="majorHAnsi" w:cs="GaramondITCbyBT-Light"/>
        </w:rPr>
        <w:t>Réflexions Rhumatologiques 2007;11(96):18-21.</w:t>
      </w:r>
    </w:p>
    <w:p w14:paraId="680CE158" w14:textId="77777777" w:rsidR="0083029C" w:rsidRDefault="0083029C" w:rsidP="007C5585">
      <w:pPr>
        <w:autoSpaceDE w:val="0"/>
        <w:autoSpaceDN w:val="0"/>
        <w:adjustRightInd w:val="0"/>
        <w:rPr>
          <w:rFonts w:asciiTheme="majorHAnsi" w:hAnsiTheme="majorHAnsi" w:cs="GaramondITCbyBT-Light"/>
        </w:rPr>
      </w:pPr>
    </w:p>
    <w:p w14:paraId="512DE90D" w14:textId="274EAE6A" w:rsidR="0083029C" w:rsidRPr="0083029C" w:rsidRDefault="00E540BD" w:rsidP="00E540BD">
      <w:pPr>
        <w:shd w:val="clear" w:color="auto" w:fill="FFFFFF"/>
        <w:rPr>
          <w:rFonts w:asciiTheme="majorHAnsi" w:eastAsia="Times New Roman" w:hAnsiTheme="majorHAnsi" w:cs="Arial"/>
        </w:rPr>
      </w:pPr>
      <w:r w:rsidRPr="0083029C">
        <w:rPr>
          <w:rFonts w:asciiTheme="majorHAnsi" w:eastAsia="Times New Roman" w:hAnsiTheme="majorHAnsi" w:cs="Arial"/>
          <w:bCs/>
        </w:rPr>
        <w:t>1</w:t>
      </w:r>
      <w:r w:rsidR="00BD158B">
        <w:rPr>
          <w:rFonts w:asciiTheme="majorHAnsi" w:eastAsia="Times New Roman" w:hAnsiTheme="majorHAnsi" w:cs="Arial"/>
          <w:bCs/>
        </w:rPr>
        <w:t>2</w:t>
      </w:r>
      <w:r w:rsidRPr="0083029C">
        <w:rPr>
          <w:rFonts w:asciiTheme="majorHAnsi" w:eastAsia="Times New Roman" w:hAnsiTheme="majorHAnsi" w:cs="Arial"/>
          <w:bCs/>
        </w:rPr>
        <w:t>. Maheu E</w:t>
      </w:r>
      <w:r w:rsidRPr="0083029C">
        <w:rPr>
          <w:rFonts w:asciiTheme="majorHAnsi" w:eastAsia="Times New Roman" w:hAnsiTheme="majorHAnsi" w:cs="Arial"/>
        </w:rPr>
        <w:t xml:space="preserve">. </w:t>
      </w:r>
      <w:hyperlink r:id="rId29" w:history="1">
        <w:r w:rsidR="0083029C" w:rsidRPr="0083029C">
          <w:rPr>
            <w:rFonts w:asciiTheme="majorHAnsi" w:eastAsia="Times New Roman" w:hAnsiTheme="majorHAnsi" w:cs="Arial"/>
          </w:rPr>
          <w:t>Tr</w:t>
        </w:r>
        <w:r w:rsidR="0083029C">
          <w:rPr>
            <w:rFonts w:asciiTheme="majorHAnsi" w:eastAsia="Times New Roman" w:hAnsiTheme="majorHAnsi" w:cs="Arial"/>
          </w:rPr>
          <w:t>aitement Intra-articulaire de la gonarthrose</w:t>
        </w:r>
        <w:r w:rsidRPr="0083029C">
          <w:rPr>
            <w:rFonts w:asciiTheme="majorHAnsi" w:eastAsia="Times New Roman" w:hAnsiTheme="majorHAnsi" w:cs="Arial"/>
          </w:rPr>
          <w:t>.</w:t>
        </w:r>
      </w:hyperlink>
      <w:r w:rsidRPr="0083029C">
        <w:rPr>
          <w:rFonts w:asciiTheme="majorHAnsi" w:eastAsia="Times New Roman" w:hAnsiTheme="majorHAnsi" w:cs="Arial"/>
        </w:rPr>
        <w:t xml:space="preserve"> Rev Prat. 2009;20;59(9):1250-3.</w:t>
      </w:r>
    </w:p>
    <w:p w14:paraId="2C0F2B44" w14:textId="695269C4" w:rsidR="00E540BD" w:rsidRPr="0083029C" w:rsidRDefault="00E540BD" w:rsidP="00E540BD">
      <w:pPr>
        <w:shd w:val="clear" w:color="auto" w:fill="FFFFFF"/>
        <w:rPr>
          <w:rFonts w:asciiTheme="majorHAnsi" w:eastAsia="Times New Roman" w:hAnsiTheme="majorHAnsi" w:cs="Arial"/>
        </w:rPr>
      </w:pPr>
      <w:r w:rsidRPr="0083029C">
        <w:rPr>
          <w:rFonts w:asciiTheme="majorHAnsi" w:eastAsia="Times New Roman" w:hAnsiTheme="majorHAnsi" w:cs="Arial"/>
        </w:rPr>
        <w:t xml:space="preserve"> </w:t>
      </w:r>
    </w:p>
    <w:p w14:paraId="172DA28F" w14:textId="79DADE1A" w:rsidR="00E540BD" w:rsidRPr="0083029C" w:rsidRDefault="00E540BD" w:rsidP="00E540BD">
      <w:pPr>
        <w:shd w:val="clear" w:color="auto" w:fill="FFFFFF"/>
        <w:rPr>
          <w:rFonts w:asciiTheme="majorHAnsi" w:eastAsia="Times New Roman" w:hAnsiTheme="majorHAnsi" w:cs="Arial"/>
        </w:rPr>
      </w:pPr>
      <w:r w:rsidRPr="0083029C">
        <w:rPr>
          <w:rFonts w:asciiTheme="majorHAnsi" w:eastAsia="Times New Roman" w:hAnsiTheme="majorHAnsi" w:cs="Arial"/>
          <w:bCs/>
        </w:rPr>
        <w:t>1</w:t>
      </w:r>
      <w:r w:rsidR="00BD158B">
        <w:rPr>
          <w:rFonts w:asciiTheme="majorHAnsi" w:eastAsia="Times New Roman" w:hAnsiTheme="majorHAnsi" w:cs="Arial"/>
          <w:bCs/>
        </w:rPr>
        <w:t>3</w:t>
      </w:r>
      <w:r w:rsidRPr="0083029C">
        <w:rPr>
          <w:rFonts w:asciiTheme="majorHAnsi" w:eastAsia="Times New Roman" w:hAnsiTheme="majorHAnsi" w:cs="Arial"/>
          <w:bCs/>
        </w:rPr>
        <w:t>. Maheu E</w:t>
      </w:r>
      <w:r w:rsidRPr="0083029C">
        <w:rPr>
          <w:rFonts w:asciiTheme="majorHAnsi" w:eastAsia="Times New Roman" w:hAnsiTheme="majorHAnsi" w:cs="Arial"/>
        </w:rPr>
        <w:t>, Zaim M, Appelbo</w:t>
      </w:r>
      <w:r w:rsidR="0083029C">
        <w:rPr>
          <w:rFonts w:asciiTheme="majorHAnsi" w:eastAsia="Times New Roman" w:hAnsiTheme="majorHAnsi" w:cs="Arial"/>
        </w:rPr>
        <w:t>om T, Jeka S, Trc T</w:t>
      </w:r>
      <w:r w:rsidRPr="0083029C">
        <w:rPr>
          <w:rFonts w:asciiTheme="majorHAnsi" w:eastAsia="Times New Roman" w:hAnsiTheme="majorHAnsi" w:cs="Arial"/>
        </w:rPr>
        <w:t>, Maasalu K, Berenbaum F.</w:t>
      </w:r>
    </w:p>
    <w:p w14:paraId="2743A60E" w14:textId="77777777" w:rsidR="0083029C" w:rsidRDefault="007C7656" w:rsidP="00E540BD">
      <w:pPr>
        <w:shd w:val="clear" w:color="auto" w:fill="FFFFFF"/>
        <w:rPr>
          <w:rFonts w:asciiTheme="majorHAnsi" w:eastAsia="Times New Roman" w:hAnsiTheme="majorHAnsi" w:cs="Arial"/>
          <w:lang w:val="en-US"/>
        </w:rPr>
      </w:pPr>
      <w:hyperlink r:id="rId30" w:history="1">
        <w:r w:rsidR="00E540BD" w:rsidRPr="005A04DD">
          <w:rPr>
            <w:rFonts w:asciiTheme="majorHAnsi" w:eastAsia="Times New Roman" w:hAnsiTheme="majorHAnsi" w:cs="Arial"/>
            <w:lang w:val="en-US"/>
          </w:rPr>
          <w:t>Comparative efficacy and safety of two different molecular weight (MW) hyaluronans F60027 and Hylan G-F20 in symptomatic osteoarthritis of t</w:t>
        </w:r>
        <w:r w:rsidR="00E540BD">
          <w:rPr>
            <w:rFonts w:asciiTheme="majorHAnsi" w:eastAsia="Times New Roman" w:hAnsiTheme="majorHAnsi" w:cs="Arial"/>
            <w:lang w:val="en-US"/>
          </w:rPr>
          <w:t>he knee (KOA). Results of a non-</w:t>
        </w:r>
        <w:r w:rsidR="00E540BD" w:rsidRPr="005A04DD">
          <w:rPr>
            <w:rFonts w:asciiTheme="majorHAnsi" w:eastAsia="Times New Roman" w:hAnsiTheme="majorHAnsi" w:cs="Arial"/>
            <w:lang w:val="en-US"/>
          </w:rPr>
          <w:t>inferiority, prospective, randomized, controlled trial.</w:t>
        </w:r>
      </w:hyperlink>
      <w:r w:rsidR="00E540BD">
        <w:rPr>
          <w:rFonts w:asciiTheme="majorHAnsi" w:eastAsia="Times New Roman" w:hAnsiTheme="majorHAnsi" w:cs="Arial"/>
          <w:lang w:val="en-US"/>
        </w:rPr>
        <w:t xml:space="preserve"> </w:t>
      </w:r>
      <w:r w:rsidR="00E540BD" w:rsidRPr="005A04DD">
        <w:rPr>
          <w:rFonts w:asciiTheme="majorHAnsi" w:eastAsia="Times New Roman" w:hAnsiTheme="majorHAnsi" w:cs="Arial"/>
          <w:lang w:val="en-US"/>
        </w:rPr>
        <w:t>Clin Exp Rheumatol</w:t>
      </w:r>
      <w:r w:rsidR="00E540BD">
        <w:rPr>
          <w:rFonts w:asciiTheme="majorHAnsi" w:eastAsia="Times New Roman" w:hAnsiTheme="majorHAnsi" w:cs="Arial"/>
          <w:lang w:val="en-US"/>
        </w:rPr>
        <w:t>. 2011;29</w:t>
      </w:r>
      <w:r w:rsidR="00E540BD" w:rsidRPr="005A04DD">
        <w:rPr>
          <w:rFonts w:asciiTheme="majorHAnsi" w:eastAsia="Times New Roman" w:hAnsiTheme="majorHAnsi" w:cs="Arial"/>
          <w:lang w:val="en-US"/>
        </w:rPr>
        <w:t>:527-35.</w:t>
      </w:r>
    </w:p>
    <w:p w14:paraId="4CC20949" w14:textId="69463E13" w:rsidR="00E540BD" w:rsidRPr="005A04DD" w:rsidRDefault="00E540BD" w:rsidP="00E540BD">
      <w:pPr>
        <w:shd w:val="clear" w:color="auto" w:fill="FFFFFF"/>
        <w:rPr>
          <w:rFonts w:asciiTheme="majorHAnsi" w:eastAsia="Times New Roman" w:hAnsiTheme="majorHAnsi" w:cs="Arial"/>
          <w:lang w:val="en-US"/>
        </w:rPr>
      </w:pPr>
      <w:r w:rsidRPr="005A04DD">
        <w:rPr>
          <w:rFonts w:asciiTheme="majorHAnsi" w:eastAsia="Times New Roman" w:hAnsiTheme="majorHAnsi" w:cs="Arial"/>
          <w:lang w:val="en-US"/>
        </w:rPr>
        <w:t xml:space="preserve"> </w:t>
      </w:r>
    </w:p>
    <w:p w14:paraId="2A15C6BB" w14:textId="54D4AA32" w:rsidR="005A04DD" w:rsidRPr="005A04DD" w:rsidRDefault="00E540BD" w:rsidP="005A04DD">
      <w:pPr>
        <w:shd w:val="clear" w:color="auto" w:fill="FFFFFF"/>
        <w:rPr>
          <w:rFonts w:asciiTheme="majorHAnsi" w:eastAsia="Times New Roman" w:hAnsiTheme="majorHAnsi" w:cs="Arial"/>
          <w:lang w:val="en-US"/>
        </w:rPr>
      </w:pPr>
      <w:r>
        <w:rPr>
          <w:rFonts w:asciiTheme="majorHAnsi" w:eastAsia="Times New Roman" w:hAnsiTheme="majorHAnsi" w:cs="Arial"/>
          <w:lang w:val="en-US"/>
        </w:rPr>
        <w:t>1</w:t>
      </w:r>
      <w:r w:rsidR="00BD158B">
        <w:rPr>
          <w:rFonts w:asciiTheme="majorHAnsi" w:eastAsia="Times New Roman" w:hAnsiTheme="majorHAnsi" w:cs="Arial"/>
          <w:lang w:val="en-US"/>
        </w:rPr>
        <w:t>4</w:t>
      </w:r>
      <w:r w:rsidR="00E830E0" w:rsidRPr="00E540BD">
        <w:rPr>
          <w:rFonts w:asciiTheme="majorHAnsi" w:eastAsia="Times New Roman" w:hAnsiTheme="majorHAnsi" w:cs="Arial"/>
          <w:lang w:val="en-US"/>
        </w:rPr>
        <w:t xml:space="preserve">. </w:t>
      </w:r>
      <w:r w:rsidR="005A04DD" w:rsidRPr="00E540BD">
        <w:rPr>
          <w:rFonts w:asciiTheme="majorHAnsi" w:eastAsia="Times New Roman" w:hAnsiTheme="majorHAnsi" w:cs="Arial"/>
          <w:lang w:val="en-US"/>
        </w:rPr>
        <w:t xml:space="preserve">Berenbaum F, Grifka J, Cazzaniga S, D'Amato M, Giacovelli G, Chevalier X, Rannou F, Rovati LC, </w:t>
      </w:r>
      <w:r w:rsidR="005A04DD" w:rsidRPr="00E540BD">
        <w:rPr>
          <w:rFonts w:asciiTheme="majorHAnsi" w:eastAsia="Times New Roman" w:hAnsiTheme="majorHAnsi" w:cs="Arial"/>
          <w:bCs/>
          <w:lang w:val="en-US"/>
        </w:rPr>
        <w:t>Maheu E</w:t>
      </w:r>
      <w:r w:rsidR="005A04DD" w:rsidRPr="00E540BD">
        <w:rPr>
          <w:rFonts w:asciiTheme="majorHAnsi" w:eastAsia="Times New Roman" w:hAnsiTheme="majorHAnsi" w:cs="Arial"/>
          <w:lang w:val="en-US"/>
        </w:rPr>
        <w:t xml:space="preserve">. </w:t>
      </w:r>
      <w:hyperlink r:id="rId31" w:history="1">
        <w:r w:rsidR="005A04DD" w:rsidRPr="005A04DD">
          <w:rPr>
            <w:rFonts w:asciiTheme="majorHAnsi" w:eastAsia="Times New Roman" w:hAnsiTheme="majorHAnsi" w:cs="Arial"/>
            <w:lang w:val="en-US"/>
          </w:rPr>
          <w:t>A randomised, double-blind, controlled trial comparing two intra-articular hyaluronic acid preparations differing by their molecular weight in symptomatic knee osteoarthritis.</w:t>
        </w:r>
      </w:hyperlink>
      <w:r w:rsidR="005A04DD">
        <w:rPr>
          <w:rFonts w:asciiTheme="majorHAnsi" w:eastAsia="Times New Roman" w:hAnsiTheme="majorHAnsi" w:cs="Arial"/>
          <w:lang w:val="en-US"/>
        </w:rPr>
        <w:t xml:space="preserve"> </w:t>
      </w:r>
      <w:r w:rsidR="005A04DD" w:rsidRPr="005A04DD">
        <w:rPr>
          <w:rFonts w:asciiTheme="majorHAnsi" w:eastAsia="Times New Roman" w:hAnsiTheme="majorHAnsi" w:cs="Arial"/>
          <w:lang w:val="en-US"/>
        </w:rPr>
        <w:t>Ann Rheum Dis</w:t>
      </w:r>
      <w:r w:rsidR="005A04DD">
        <w:rPr>
          <w:rFonts w:asciiTheme="majorHAnsi" w:eastAsia="Times New Roman" w:hAnsiTheme="majorHAnsi" w:cs="Arial"/>
          <w:lang w:val="en-US"/>
        </w:rPr>
        <w:t>. 2012;71</w:t>
      </w:r>
      <w:r w:rsidR="005A04DD" w:rsidRPr="005A04DD">
        <w:rPr>
          <w:rFonts w:asciiTheme="majorHAnsi" w:eastAsia="Times New Roman" w:hAnsiTheme="majorHAnsi" w:cs="Arial"/>
          <w:lang w:val="en-US"/>
        </w:rPr>
        <w:t xml:space="preserve">:1454-60. </w:t>
      </w:r>
    </w:p>
    <w:p w14:paraId="3018152E" w14:textId="77777777" w:rsidR="001D1F71" w:rsidRPr="004616C6" w:rsidRDefault="001D1F71">
      <w:pPr>
        <w:rPr>
          <w:rFonts w:asciiTheme="majorHAnsi" w:hAnsiTheme="majorHAnsi"/>
          <w:lang w:val="en-US"/>
        </w:rPr>
      </w:pPr>
    </w:p>
    <w:sectPr w:rsidR="001D1F71" w:rsidRPr="004616C6" w:rsidSect="003A436C">
      <w:headerReference w:type="even" r:id="rId32"/>
      <w:headerReference w:type="default" r:id="rId33"/>
      <w:footerReference w:type="even" r:id="rId34"/>
      <w:footerReference w:type="default" r:id="rId35"/>
      <w:headerReference w:type="first" r:id="rId36"/>
      <w:footerReference w:type="first" r:id="rId3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638A5D" w14:textId="77777777" w:rsidR="007C7656" w:rsidRDefault="007C7656">
      <w:r>
        <w:separator/>
      </w:r>
    </w:p>
  </w:endnote>
  <w:endnote w:type="continuationSeparator" w:id="0">
    <w:p w14:paraId="032C3A60" w14:textId="77777777" w:rsidR="007C7656" w:rsidRDefault="007C7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dvPA0C4">
    <w:panose1 w:val="00000000000000000000"/>
    <w:charset w:val="00"/>
    <w:family w:val="auto"/>
    <w:notTrueType/>
    <w:pitch w:val="default"/>
    <w:sig w:usb0="00000003" w:usb1="00000000" w:usb2="00000000" w:usb3="00000000" w:csb0="00000001" w:csb1="00000000"/>
  </w:font>
  <w:font w:name="New-Baskerville-RomanA">
    <w:panose1 w:val="00000000000000000000"/>
    <w:charset w:val="00"/>
    <w:family w:val="auto"/>
    <w:notTrueType/>
    <w:pitch w:val="default"/>
    <w:sig w:usb0="00000003" w:usb1="00000000" w:usb2="00000000" w:usb3="00000000" w:csb0="00000001" w:csb1="00000000"/>
  </w:font>
  <w:font w:name="AdvP6EC0">
    <w:panose1 w:val="00000000000000000000"/>
    <w:charset w:val="00"/>
    <w:family w:val="auto"/>
    <w:notTrueType/>
    <w:pitch w:val="default"/>
    <w:sig w:usb0="00000003" w:usb1="00000000" w:usb2="00000000" w:usb3="00000000" w:csb0="00000001" w:csb1="00000000"/>
  </w:font>
  <w:font w:name="AdvP4C4E74">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script"/>
    <w:notTrueType/>
    <w:pitch w:val="default"/>
    <w:sig w:usb0="00000003" w:usb1="00000000" w:usb2="00000000" w:usb3="00000000" w:csb0="00000001" w:csb1="00000000"/>
  </w:font>
  <w:font w:name="ArialMT">
    <w:panose1 w:val="00000000000000000000"/>
    <w:charset w:val="00"/>
    <w:family w:val="script"/>
    <w:notTrueType/>
    <w:pitch w:val="default"/>
    <w:sig w:usb0="00000003" w:usb1="00000000" w:usb2="00000000" w:usb3="00000000" w:csb0="00000001" w:csb1="00000000"/>
  </w:font>
  <w:font w:name="AdvOT0231c847">
    <w:panose1 w:val="00000000000000000000"/>
    <w:charset w:val="00"/>
    <w:family w:val="swiss"/>
    <w:notTrueType/>
    <w:pitch w:val="default"/>
    <w:sig w:usb0="00000003" w:usb1="00000000" w:usb2="00000000" w:usb3="00000000" w:csb0="00000001" w:csb1="00000000"/>
  </w:font>
  <w:font w:name="AdvOTbe4cb9cb">
    <w:panose1 w:val="00000000000000000000"/>
    <w:charset w:val="00"/>
    <w:family w:val="swiss"/>
    <w:notTrueType/>
    <w:pitch w:val="default"/>
    <w:sig w:usb0="00000003" w:usb1="00000000" w:usb2="00000000" w:usb3="00000000" w:csb0="00000001" w:csb1="00000000"/>
  </w:font>
  <w:font w:name="AdvOT863180fb">
    <w:altName w:val="MS Mincho"/>
    <w:panose1 w:val="00000000000000000000"/>
    <w:charset w:val="80"/>
    <w:family w:val="auto"/>
    <w:notTrueType/>
    <w:pitch w:val="default"/>
    <w:sig w:usb0="00000001" w:usb1="08070000" w:usb2="00000010" w:usb3="00000000" w:csb0="00020000" w:csb1="00000000"/>
  </w:font>
  <w:font w:name="Frutiger">
    <w:panose1 w:val="00000000000000000000"/>
    <w:charset w:val="00"/>
    <w:family w:val="swiss"/>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AdvPS44A44B">
    <w:panose1 w:val="00000000000000000000"/>
    <w:charset w:val="00"/>
    <w:family w:val="roman"/>
    <w:notTrueType/>
    <w:pitch w:val="default"/>
    <w:sig w:usb0="00000003" w:usb1="00000000" w:usb2="00000000" w:usb3="00000000" w:csb0="00000001" w:csb1="00000000"/>
  </w:font>
  <w:font w:name="AdvPA0C8">
    <w:panose1 w:val="00000000000000000000"/>
    <w:charset w:val="00"/>
    <w:family w:val="auto"/>
    <w:notTrueType/>
    <w:pitch w:val="default"/>
    <w:sig w:usb0="00000003" w:usb1="00000000" w:usb2="00000000" w:usb3="00000000" w:csb0="00000001" w:csb1="00000000"/>
  </w:font>
  <w:font w:name="AdvP2A83">
    <w:panose1 w:val="00000000000000000000"/>
    <w:charset w:val="00"/>
    <w:family w:val="auto"/>
    <w:notTrueType/>
    <w:pitch w:val="default"/>
    <w:sig w:usb0="00000003" w:usb1="00000000" w:usb2="00000000" w:usb3="00000000" w:csb0="00000001" w:csb1="00000000"/>
  </w:font>
  <w:font w:name="AdvPA0C7">
    <w:panose1 w:val="00000000000000000000"/>
    <w:charset w:val="00"/>
    <w:family w:val="auto"/>
    <w:notTrueType/>
    <w:pitch w:val="default"/>
    <w:sig w:usb0="00000003" w:usb1="00000000" w:usb2="00000000" w:usb3="00000000" w:csb0="00000001" w:csb1="00000000"/>
  </w:font>
  <w:font w:name="AdvP6EC5">
    <w:panose1 w:val="00000000000000000000"/>
    <w:charset w:val="00"/>
    <w:family w:val="auto"/>
    <w:notTrueType/>
    <w:pitch w:val="default"/>
    <w:sig w:usb0="00000003" w:usb1="00000000" w:usb2="00000000" w:usb3="00000000" w:csb0="00000001" w:csb1="00000000"/>
  </w:font>
  <w:font w:name="AdvP6421">
    <w:panose1 w:val="00000000000000000000"/>
    <w:charset w:val="00"/>
    <w:family w:val="swiss"/>
    <w:notTrueType/>
    <w:pitch w:val="default"/>
    <w:sig w:usb0="00000003" w:usb1="00000000" w:usb2="00000000" w:usb3="00000000" w:csb0="00000001" w:csb1="00000000"/>
  </w:font>
  <w:font w:name="GaramondITCbyBT-Light">
    <w:panose1 w:val="00000000000000000000"/>
    <w:charset w:val="00"/>
    <w:family w:val="swiss"/>
    <w:notTrueType/>
    <w:pitch w:val="default"/>
    <w:sig w:usb0="00000003" w:usb1="00000000" w:usb2="00000000" w:usb3="00000000" w:csb0="00000001" w:csb1="00000000"/>
  </w:font>
  <w:font w:name="Helvetica-ExtraCompressed">
    <w:panose1 w:val="00000000000000000000"/>
    <w:charset w:val="00"/>
    <w:family w:val="swiss"/>
    <w:notTrueType/>
    <w:pitch w:val="default"/>
    <w:sig w:usb0="00000003" w:usb1="00000000" w:usb2="00000000" w:usb3="00000000" w:csb0="00000001" w:csb1="00000000"/>
  </w:font>
  <w:font w:name="Present-Bold">
    <w:panose1 w:val="00000000000000000000"/>
    <w:charset w:val="00"/>
    <w:family w:val="swiss"/>
    <w:notTrueType/>
    <w:pitch w:val="default"/>
    <w:sig w:usb0="00000003" w:usb1="00000000" w:usb2="00000000" w:usb3="00000000" w:csb0="00000001" w:csb1="00000000"/>
  </w:font>
  <w:font w:name="Formata-Italic">
    <w:panose1 w:val="00000000000000000000"/>
    <w:charset w:val="00"/>
    <w:family w:val="swiss"/>
    <w:notTrueType/>
    <w:pitch w:val="default"/>
    <w:sig w:usb0="00000003" w:usb1="00000000" w:usb2="00000000" w:usb3="00000000" w:csb0="00000001" w:csb1="00000000"/>
  </w:font>
  <w:font w:name="HelveticaNeue-LightEx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69616" w14:textId="77777777" w:rsidR="00926803" w:rsidRDefault="0092680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988213"/>
      <w:docPartObj>
        <w:docPartGallery w:val="Page Numbers (Bottom of Page)"/>
        <w:docPartUnique/>
      </w:docPartObj>
    </w:sdtPr>
    <w:sdtEndPr>
      <w:rPr>
        <w:rFonts w:asciiTheme="majorHAnsi" w:hAnsiTheme="majorHAnsi"/>
        <w:sz w:val="20"/>
      </w:rPr>
    </w:sdtEndPr>
    <w:sdtContent>
      <w:p w14:paraId="563F503E" w14:textId="77777777" w:rsidR="00926803" w:rsidRPr="00413F97" w:rsidRDefault="00926803">
        <w:pPr>
          <w:pStyle w:val="Pieddepage"/>
          <w:jc w:val="right"/>
          <w:rPr>
            <w:rFonts w:asciiTheme="majorHAnsi" w:hAnsiTheme="majorHAnsi"/>
            <w:sz w:val="20"/>
          </w:rPr>
        </w:pPr>
        <w:r w:rsidRPr="00413F97">
          <w:rPr>
            <w:rFonts w:asciiTheme="majorHAnsi" w:hAnsiTheme="majorHAnsi"/>
            <w:sz w:val="20"/>
          </w:rPr>
          <w:fldChar w:fldCharType="begin"/>
        </w:r>
        <w:r w:rsidRPr="00413F97">
          <w:rPr>
            <w:rFonts w:asciiTheme="majorHAnsi" w:hAnsiTheme="majorHAnsi"/>
            <w:sz w:val="20"/>
          </w:rPr>
          <w:instrText>PAGE   \* MERGEFORMAT</w:instrText>
        </w:r>
        <w:r w:rsidRPr="00413F97">
          <w:rPr>
            <w:rFonts w:asciiTheme="majorHAnsi" w:hAnsiTheme="majorHAnsi"/>
            <w:sz w:val="20"/>
          </w:rPr>
          <w:fldChar w:fldCharType="separate"/>
        </w:r>
        <w:r w:rsidR="004B28E0">
          <w:rPr>
            <w:rFonts w:asciiTheme="majorHAnsi" w:hAnsiTheme="majorHAnsi"/>
            <w:noProof/>
            <w:sz w:val="20"/>
          </w:rPr>
          <w:t>15</w:t>
        </w:r>
        <w:r w:rsidRPr="00413F97">
          <w:rPr>
            <w:rFonts w:asciiTheme="majorHAnsi" w:hAnsiTheme="majorHAnsi"/>
            <w:sz w:val="20"/>
          </w:rPr>
          <w:fldChar w:fldCharType="end"/>
        </w:r>
      </w:p>
    </w:sdtContent>
  </w:sdt>
  <w:p w14:paraId="55F643F2" w14:textId="77777777" w:rsidR="00926803" w:rsidRDefault="00926803">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57660" w14:textId="77777777" w:rsidR="00926803" w:rsidRDefault="0092680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791A22" w14:textId="77777777" w:rsidR="007C7656" w:rsidRDefault="007C7656">
      <w:r>
        <w:separator/>
      </w:r>
    </w:p>
  </w:footnote>
  <w:footnote w:type="continuationSeparator" w:id="0">
    <w:p w14:paraId="7676EF64" w14:textId="77777777" w:rsidR="007C7656" w:rsidRDefault="007C76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E4637" w14:textId="77777777" w:rsidR="00926803" w:rsidRDefault="0092680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0526D" w14:textId="77777777" w:rsidR="00926803" w:rsidRDefault="00926803">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55C27" w14:textId="77777777" w:rsidR="00926803" w:rsidRDefault="0092680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300D"/>
    <w:multiLevelType w:val="hybridMultilevel"/>
    <w:tmpl w:val="3836D07C"/>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nsid w:val="11907007"/>
    <w:multiLevelType w:val="hybridMultilevel"/>
    <w:tmpl w:val="C078649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546536C"/>
    <w:multiLevelType w:val="hybridMultilevel"/>
    <w:tmpl w:val="6F0CAF5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BFA7312"/>
    <w:multiLevelType w:val="hybridMultilevel"/>
    <w:tmpl w:val="91D062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CC54B74"/>
    <w:multiLevelType w:val="hybridMultilevel"/>
    <w:tmpl w:val="4864B68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73F0A55"/>
    <w:multiLevelType w:val="multilevel"/>
    <w:tmpl w:val="22DA8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A0977DD"/>
    <w:multiLevelType w:val="multilevel"/>
    <w:tmpl w:val="4476B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7EB499A"/>
    <w:multiLevelType w:val="hybridMultilevel"/>
    <w:tmpl w:val="FA1E097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8EE2444"/>
    <w:multiLevelType w:val="hybridMultilevel"/>
    <w:tmpl w:val="6B2AB3F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8"/>
  </w:num>
  <w:num w:numId="3">
    <w:abstractNumId w:val="2"/>
  </w:num>
  <w:num w:numId="4">
    <w:abstractNumId w:val="1"/>
  </w:num>
  <w:num w:numId="5">
    <w:abstractNumId w:val="3"/>
  </w:num>
  <w:num w:numId="6">
    <w:abstractNumId w:val="0"/>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CE63EE"/>
    <w:rsid w:val="00016E02"/>
    <w:rsid w:val="00094638"/>
    <w:rsid w:val="00122463"/>
    <w:rsid w:val="00132DFD"/>
    <w:rsid w:val="00152081"/>
    <w:rsid w:val="001609CE"/>
    <w:rsid w:val="0019118F"/>
    <w:rsid w:val="001A3870"/>
    <w:rsid w:val="001A4CA0"/>
    <w:rsid w:val="001B2156"/>
    <w:rsid w:val="001D1F71"/>
    <w:rsid w:val="001D7200"/>
    <w:rsid w:val="0022132C"/>
    <w:rsid w:val="002F2A33"/>
    <w:rsid w:val="0032764B"/>
    <w:rsid w:val="00334AA4"/>
    <w:rsid w:val="003800A8"/>
    <w:rsid w:val="003A436C"/>
    <w:rsid w:val="003C695C"/>
    <w:rsid w:val="003E24A5"/>
    <w:rsid w:val="00460D92"/>
    <w:rsid w:val="004616C6"/>
    <w:rsid w:val="0047314A"/>
    <w:rsid w:val="004A109A"/>
    <w:rsid w:val="004B0CA3"/>
    <w:rsid w:val="004B28E0"/>
    <w:rsid w:val="005A04DD"/>
    <w:rsid w:val="005D5E82"/>
    <w:rsid w:val="0061091D"/>
    <w:rsid w:val="006B6152"/>
    <w:rsid w:val="007667CA"/>
    <w:rsid w:val="00786078"/>
    <w:rsid w:val="007A7595"/>
    <w:rsid w:val="007B2596"/>
    <w:rsid w:val="007C24EA"/>
    <w:rsid w:val="007C5585"/>
    <w:rsid w:val="007C6C89"/>
    <w:rsid w:val="007C7656"/>
    <w:rsid w:val="00801C70"/>
    <w:rsid w:val="0083029C"/>
    <w:rsid w:val="008F0061"/>
    <w:rsid w:val="00912C1B"/>
    <w:rsid w:val="00915EAC"/>
    <w:rsid w:val="00926803"/>
    <w:rsid w:val="0096587A"/>
    <w:rsid w:val="009B0F37"/>
    <w:rsid w:val="009B4174"/>
    <w:rsid w:val="009E4251"/>
    <w:rsid w:val="00A17FBD"/>
    <w:rsid w:val="00A56FD1"/>
    <w:rsid w:val="00A70A26"/>
    <w:rsid w:val="00A72DB2"/>
    <w:rsid w:val="00A7675C"/>
    <w:rsid w:val="00B03E90"/>
    <w:rsid w:val="00B544F9"/>
    <w:rsid w:val="00BD158B"/>
    <w:rsid w:val="00BF3F1F"/>
    <w:rsid w:val="00C507A3"/>
    <w:rsid w:val="00CE63EE"/>
    <w:rsid w:val="00CF03BE"/>
    <w:rsid w:val="00D617AF"/>
    <w:rsid w:val="00D855BD"/>
    <w:rsid w:val="00DD4E52"/>
    <w:rsid w:val="00DD7FD8"/>
    <w:rsid w:val="00DE6971"/>
    <w:rsid w:val="00E146A1"/>
    <w:rsid w:val="00E4085B"/>
    <w:rsid w:val="00E540BD"/>
    <w:rsid w:val="00E573E1"/>
    <w:rsid w:val="00E57549"/>
    <w:rsid w:val="00E60219"/>
    <w:rsid w:val="00E830E0"/>
    <w:rsid w:val="00ED040F"/>
    <w:rsid w:val="00ED19ED"/>
    <w:rsid w:val="00EF0718"/>
    <w:rsid w:val="00F07C0F"/>
    <w:rsid w:val="00F534AB"/>
    <w:rsid w:val="00FF775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DFE0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3EE"/>
  </w:style>
  <w:style w:type="paragraph" w:styleId="Titre3">
    <w:name w:val="heading 3"/>
    <w:basedOn w:val="Normal"/>
    <w:link w:val="Titre3Car"/>
    <w:uiPriority w:val="9"/>
    <w:qFormat/>
    <w:rsid w:val="00CE63EE"/>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CE63EE"/>
    <w:rPr>
      <w:rFonts w:ascii="Times New Roman" w:eastAsia="Times New Roman" w:hAnsi="Times New Roman" w:cs="Times New Roman"/>
      <w:b/>
      <w:bCs/>
      <w:sz w:val="27"/>
      <w:szCs w:val="27"/>
    </w:rPr>
  </w:style>
  <w:style w:type="paragraph" w:styleId="Paragraphedeliste">
    <w:name w:val="List Paragraph"/>
    <w:basedOn w:val="Normal"/>
    <w:uiPriority w:val="34"/>
    <w:qFormat/>
    <w:rsid w:val="00CE63EE"/>
    <w:pPr>
      <w:ind w:left="720"/>
      <w:contextualSpacing/>
    </w:pPr>
  </w:style>
  <w:style w:type="character" w:customStyle="1" w:styleId="highlight">
    <w:name w:val="highlight"/>
    <w:basedOn w:val="Policepardfaut"/>
    <w:rsid w:val="00CE63EE"/>
  </w:style>
  <w:style w:type="paragraph" w:customStyle="1" w:styleId="desc2">
    <w:name w:val="desc2"/>
    <w:basedOn w:val="Normal"/>
    <w:rsid w:val="00CE63EE"/>
    <w:rPr>
      <w:rFonts w:ascii="Times New Roman" w:eastAsia="Times New Roman" w:hAnsi="Times New Roman" w:cs="Times New Roman"/>
      <w:sz w:val="26"/>
      <w:szCs w:val="26"/>
    </w:rPr>
  </w:style>
  <w:style w:type="paragraph" w:customStyle="1" w:styleId="details1">
    <w:name w:val="details1"/>
    <w:basedOn w:val="Normal"/>
    <w:rsid w:val="00CE63EE"/>
    <w:rPr>
      <w:rFonts w:ascii="Times New Roman" w:eastAsia="Times New Roman" w:hAnsi="Times New Roman" w:cs="Times New Roman"/>
      <w:sz w:val="22"/>
      <w:szCs w:val="22"/>
    </w:rPr>
  </w:style>
  <w:style w:type="character" w:customStyle="1" w:styleId="jrnl">
    <w:name w:val="jrnl"/>
    <w:basedOn w:val="Policepardfaut"/>
    <w:rsid w:val="00CE63EE"/>
  </w:style>
  <w:style w:type="paragraph" w:customStyle="1" w:styleId="title1">
    <w:name w:val="title1"/>
    <w:basedOn w:val="Normal"/>
    <w:rsid w:val="00CE63EE"/>
    <w:rPr>
      <w:rFonts w:ascii="Times New Roman" w:eastAsia="Times New Roman" w:hAnsi="Times New Roman" w:cs="Times New Roman"/>
      <w:sz w:val="27"/>
      <w:szCs w:val="27"/>
    </w:rPr>
  </w:style>
  <w:style w:type="paragraph" w:customStyle="1" w:styleId="Default">
    <w:name w:val="Default"/>
    <w:rsid w:val="00CE63EE"/>
    <w:pPr>
      <w:autoSpaceDE w:val="0"/>
      <w:autoSpaceDN w:val="0"/>
      <w:adjustRightInd w:val="0"/>
    </w:pPr>
    <w:rPr>
      <w:rFonts w:ascii="Times New Roman" w:hAnsi="Times New Roman" w:cs="Times New Roman"/>
      <w:color w:val="000000"/>
    </w:rPr>
  </w:style>
  <w:style w:type="character" w:styleId="CitationHTML">
    <w:name w:val="HTML Cite"/>
    <w:basedOn w:val="Policepardfaut"/>
    <w:uiPriority w:val="99"/>
    <w:semiHidden/>
    <w:unhideWhenUsed/>
    <w:rsid w:val="00CE63EE"/>
    <w:rPr>
      <w:i/>
      <w:iCs/>
    </w:rPr>
  </w:style>
  <w:style w:type="paragraph" w:styleId="En-tte">
    <w:name w:val="header"/>
    <w:basedOn w:val="Normal"/>
    <w:link w:val="En-tteCar"/>
    <w:uiPriority w:val="99"/>
    <w:unhideWhenUsed/>
    <w:rsid w:val="00CE63EE"/>
    <w:pPr>
      <w:tabs>
        <w:tab w:val="center" w:pos="4536"/>
        <w:tab w:val="right" w:pos="9072"/>
      </w:tabs>
    </w:pPr>
  </w:style>
  <w:style w:type="character" w:customStyle="1" w:styleId="En-tteCar">
    <w:name w:val="En-tête Car"/>
    <w:basedOn w:val="Policepardfaut"/>
    <w:link w:val="En-tte"/>
    <w:uiPriority w:val="99"/>
    <w:rsid w:val="00CE63EE"/>
  </w:style>
  <w:style w:type="paragraph" w:styleId="Pieddepage">
    <w:name w:val="footer"/>
    <w:basedOn w:val="Normal"/>
    <w:link w:val="PieddepageCar"/>
    <w:uiPriority w:val="99"/>
    <w:unhideWhenUsed/>
    <w:rsid w:val="00CE63EE"/>
    <w:pPr>
      <w:tabs>
        <w:tab w:val="center" w:pos="4536"/>
        <w:tab w:val="right" w:pos="9072"/>
      </w:tabs>
    </w:pPr>
  </w:style>
  <w:style w:type="character" w:customStyle="1" w:styleId="PieddepageCar">
    <w:name w:val="Pied de page Car"/>
    <w:basedOn w:val="Policepardfaut"/>
    <w:link w:val="Pieddepage"/>
    <w:uiPriority w:val="99"/>
    <w:rsid w:val="00CE63EE"/>
  </w:style>
  <w:style w:type="table" w:styleId="Grilledutableau">
    <w:name w:val="Table Grid"/>
    <w:basedOn w:val="TableauNormal"/>
    <w:uiPriority w:val="59"/>
    <w:rsid w:val="00CE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rameclaire-Accent1">
    <w:name w:val="Light Shading Accent 1"/>
    <w:basedOn w:val="TableauNormal"/>
    <w:uiPriority w:val="60"/>
    <w:rsid w:val="00CE63EE"/>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steclaire-Accent1">
    <w:name w:val="Light List Accent 1"/>
    <w:basedOn w:val="TableauNormal"/>
    <w:uiPriority w:val="61"/>
    <w:rsid w:val="00CE63E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ramemoyenne1-Accent1">
    <w:name w:val="Medium Shading 1 Accent 1"/>
    <w:basedOn w:val="TableauNormal"/>
    <w:uiPriority w:val="63"/>
    <w:rsid w:val="00CE63E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rmalWeb">
    <w:name w:val="Normal (Web)"/>
    <w:basedOn w:val="Normal"/>
    <w:uiPriority w:val="99"/>
    <w:unhideWhenUsed/>
    <w:rsid w:val="00CE63EE"/>
    <w:pPr>
      <w:spacing w:before="100" w:beforeAutospacing="1" w:after="100" w:afterAutospacing="1"/>
    </w:pPr>
    <w:rPr>
      <w:rFonts w:ascii="Times New Roman" w:eastAsia="Times New Roman" w:hAnsi="Times New Roman" w:cs="Times New Roman"/>
    </w:rPr>
  </w:style>
  <w:style w:type="character" w:styleId="Lienhypertexte">
    <w:name w:val="Hyperlink"/>
    <w:basedOn w:val="Policepardfaut"/>
    <w:uiPriority w:val="99"/>
    <w:unhideWhenUsed/>
    <w:rsid w:val="00CE63EE"/>
    <w:rPr>
      <w:color w:val="0000FF" w:themeColor="hyperlink"/>
      <w:u w:val="single"/>
    </w:rPr>
  </w:style>
  <w:style w:type="paragraph" w:styleId="Textedebulles">
    <w:name w:val="Balloon Text"/>
    <w:basedOn w:val="Normal"/>
    <w:link w:val="TextedebullesCar"/>
    <w:uiPriority w:val="99"/>
    <w:semiHidden/>
    <w:unhideWhenUsed/>
    <w:rsid w:val="0061091D"/>
    <w:rPr>
      <w:rFonts w:ascii="Tahoma" w:hAnsi="Tahoma" w:cs="Tahoma"/>
      <w:sz w:val="16"/>
      <w:szCs w:val="16"/>
    </w:rPr>
  </w:style>
  <w:style w:type="character" w:customStyle="1" w:styleId="TextedebullesCar">
    <w:name w:val="Texte de bulles Car"/>
    <w:basedOn w:val="Policepardfaut"/>
    <w:link w:val="Textedebulles"/>
    <w:uiPriority w:val="99"/>
    <w:semiHidden/>
    <w:rsid w:val="006109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3EE"/>
  </w:style>
  <w:style w:type="paragraph" w:styleId="Titre3">
    <w:name w:val="heading 3"/>
    <w:basedOn w:val="Normal"/>
    <w:link w:val="Titre3Car"/>
    <w:uiPriority w:val="9"/>
    <w:qFormat/>
    <w:rsid w:val="00CE63EE"/>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CE63EE"/>
    <w:rPr>
      <w:rFonts w:ascii="Times New Roman" w:eastAsia="Times New Roman" w:hAnsi="Times New Roman" w:cs="Times New Roman"/>
      <w:b/>
      <w:bCs/>
      <w:sz w:val="27"/>
      <w:szCs w:val="27"/>
    </w:rPr>
  </w:style>
  <w:style w:type="paragraph" w:styleId="Paragraphedeliste">
    <w:name w:val="List Paragraph"/>
    <w:basedOn w:val="Normal"/>
    <w:uiPriority w:val="34"/>
    <w:qFormat/>
    <w:rsid w:val="00CE63EE"/>
    <w:pPr>
      <w:ind w:left="720"/>
      <w:contextualSpacing/>
    </w:pPr>
  </w:style>
  <w:style w:type="character" w:customStyle="1" w:styleId="highlight">
    <w:name w:val="highlight"/>
    <w:basedOn w:val="Policepardfaut"/>
    <w:rsid w:val="00CE63EE"/>
  </w:style>
  <w:style w:type="paragraph" w:customStyle="1" w:styleId="desc2">
    <w:name w:val="desc2"/>
    <w:basedOn w:val="Normal"/>
    <w:rsid w:val="00CE63EE"/>
    <w:rPr>
      <w:rFonts w:ascii="Times New Roman" w:eastAsia="Times New Roman" w:hAnsi="Times New Roman" w:cs="Times New Roman"/>
      <w:sz w:val="26"/>
      <w:szCs w:val="26"/>
    </w:rPr>
  </w:style>
  <w:style w:type="paragraph" w:customStyle="1" w:styleId="details1">
    <w:name w:val="details1"/>
    <w:basedOn w:val="Normal"/>
    <w:rsid w:val="00CE63EE"/>
    <w:rPr>
      <w:rFonts w:ascii="Times New Roman" w:eastAsia="Times New Roman" w:hAnsi="Times New Roman" w:cs="Times New Roman"/>
      <w:sz w:val="22"/>
      <w:szCs w:val="22"/>
    </w:rPr>
  </w:style>
  <w:style w:type="character" w:customStyle="1" w:styleId="jrnl">
    <w:name w:val="jrnl"/>
    <w:basedOn w:val="Policepardfaut"/>
    <w:rsid w:val="00CE63EE"/>
  </w:style>
  <w:style w:type="paragraph" w:customStyle="1" w:styleId="title1">
    <w:name w:val="title1"/>
    <w:basedOn w:val="Normal"/>
    <w:rsid w:val="00CE63EE"/>
    <w:rPr>
      <w:rFonts w:ascii="Times New Roman" w:eastAsia="Times New Roman" w:hAnsi="Times New Roman" w:cs="Times New Roman"/>
      <w:sz w:val="27"/>
      <w:szCs w:val="27"/>
    </w:rPr>
  </w:style>
  <w:style w:type="paragraph" w:customStyle="1" w:styleId="Default">
    <w:name w:val="Default"/>
    <w:rsid w:val="00CE63EE"/>
    <w:pPr>
      <w:autoSpaceDE w:val="0"/>
      <w:autoSpaceDN w:val="0"/>
      <w:adjustRightInd w:val="0"/>
    </w:pPr>
    <w:rPr>
      <w:rFonts w:ascii="Times New Roman" w:hAnsi="Times New Roman" w:cs="Times New Roman"/>
      <w:color w:val="000000"/>
    </w:rPr>
  </w:style>
  <w:style w:type="character" w:styleId="CitationHTML">
    <w:name w:val="HTML Cite"/>
    <w:basedOn w:val="Policepardfaut"/>
    <w:uiPriority w:val="99"/>
    <w:semiHidden/>
    <w:unhideWhenUsed/>
    <w:rsid w:val="00CE63EE"/>
    <w:rPr>
      <w:i/>
      <w:iCs/>
    </w:rPr>
  </w:style>
  <w:style w:type="paragraph" w:styleId="En-tte">
    <w:name w:val="header"/>
    <w:basedOn w:val="Normal"/>
    <w:link w:val="En-tteCar"/>
    <w:uiPriority w:val="99"/>
    <w:unhideWhenUsed/>
    <w:rsid w:val="00CE63EE"/>
    <w:pPr>
      <w:tabs>
        <w:tab w:val="center" w:pos="4536"/>
        <w:tab w:val="right" w:pos="9072"/>
      </w:tabs>
    </w:pPr>
  </w:style>
  <w:style w:type="character" w:customStyle="1" w:styleId="En-tteCar">
    <w:name w:val="En-tête Car"/>
    <w:basedOn w:val="Policepardfaut"/>
    <w:link w:val="En-tte"/>
    <w:uiPriority w:val="99"/>
    <w:rsid w:val="00CE63EE"/>
  </w:style>
  <w:style w:type="paragraph" w:styleId="Pieddepage">
    <w:name w:val="footer"/>
    <w:basedOn w:val="Normal"/>
    <w:link w:val="PieddepageCar"/>
    <w:uiPriority w:val="99"/>
    <w:unhideWhenUsed/>
    <w:rsid w:val="00CE63EE"/>
    <w:pPr>
      <w:tabs>
        <w:tab w:val="center" w:pos="4536"/>
        <w:tab w:val="right" w:pos="9072"/>
      </w:tabs>
    </w:pPr>
  </w:style>
  <w:style w:type="character" w:customStyle="1" w:styleId="PieddepageCar">
    <w:name w:val="Pied de page Car"/>
    <w:basedOn w:val="Policepardfaut"/>
    <w:link w:val="Pieddepage"/>
    <w:uiPriority w:val="99"/>
    <w:rsid w:val="00CE63EE"/>
  </w:style>
  <w:style w:type="table" w:styleId="Grilledutableau">
    <w:name w:val="Table Grid"/>
    <w:basedOn w:val="TableauNormal"/>
    <w:uiPriority w:val="59"/>
    <w:rsid w:val="00CE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rameclaire-Accent1">
    <w:name w:val="Light Shading Accent 1"/>
    <w:basedOn w:val="TableauNormal"/>
    <w:uiPriority w:val="60"/>
    <w:rsid w:val="00CE63EE"/>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steclaire-Accent1">
    <w:name w:val="Light List Accent 1"/>
    <w:basedOn w:val="TableauNormal"/>
    <w:uiPriority w:val="61"/>
    <w:rsid w:val="00CE63E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ramemoyenne1-Accent1">
    <w:name w:val="Medium Shading 1 Accent 1"/>
    <w:basedOn w:val="TableauNormal"/>
    <w:uiPriority w:val="63"/>
    <w:rsid w:val="00CE63E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rmalWeb">
    <w:name w:val="Normal (Web)"/>
    <w:basedOn w:val="Normal"/>
    <w:uiPriority w:val="99"/>
    <w:unhideWhenUsed/>
    <w:rsid w:val="00CE63EE"/>
    <w:pPr>
      <w:spacing w:before="100" w:beforeAutospacing="1" w:after="100" w:afterAutospacing="1"/>
    </w:pPr>
    <w:rPr>
      <w:rFonts w:ascii="Times New Roman" w:eastAsia="Times New Roman" w:hAnsi="Times New Roman" w:cs="Times New Roman"/>
    </w:rPr>
  </w:style>
  <w:style w:type="character" w:styleId="Lienhypertexte">
    <w:name w:val="Hyperlink"/>
    <w:basedOn w:val="Policepardfaut"/>
    <w:uiPriority w:val="99"/>
    <w:unhideWhenUsed/>
    <w:rsid w:val="00CE63EE"/>
    <w:rPr>
      <w:color w:val="0000FF" w:themeColor="hyperlink"/>
      <w:u w:val="single"/>
    </w:rPr>
  </w:style>
  <w:style w:type="paragraph" w:styleId="Textedebulles">
    <w:name w:val="Balloon Text"/>
    <w:basedOn w:val="Normal"/>
    <w:link w:val="TextedebullesCar"/>
    <w:uiPriority w:val="99"/>
    <w:semiHidden/>
    <w:unhideWhenUsed/>
    <w:rsid w:val="0061091D"/>
    <w:rPr>
      <w:rFonts w:ascii="Tahoma" w:hAnsi="Tahoma" w:cs="Tahoma"/>
      <w:sz w:val="16"/>
      <w:szCs w:val="16"/>
    </w:rPr>
  </w:style>
  <w:style w:type="character" w:customStyle="1" w:styleId="TextedebullesCar">
    <w:name w:val="Texte de bulles Car"/>
    <w:basedOn w:val="Policepardfaut"/>
    <w:link w:val="Textedebulles"/>
    <w:uiPriority w:val="99"/>
    <w:semiHidden/>
    <w:rsid w:val="006109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406308">
      <w:bodyDiv w:val="1"/>
      <w:marLeft w:val="0"/>
      <w:marRight w:val="0"/>
      <w:marTop w:val="0"/>
      <w:marBottom w:val="0"/>
      <w:divBdr>
        <w:top w:val="none" w:sz="0" w:space="0" w:color="auto"/>
        <w:left w:val="none" w:sz="0" w:space="0" w:color="auto"/>
        <w:bottom w:val="none" w:sz="0" w:space="0" w:color="auto"/>
        <w:right w:val="none" w:sz="0" w:space="0" w:color="auto"/>
      </w:divBdr>
      <w:divsChild>
        <w:div w:id="1106344336">
          <w:marLeft w:val="0"/>
          <w:marRight w:val="1"/>
          <w:marTop w:val="0"/>
          <w:marBottom w:val="0"/>
          <w:divBdr>
            <w:top w:val="none" w:sz="0" w:space="0" w:color="auto"/>
            <w:left w:val="none" w:sz="0" w:space="0" w:color="auto"/>
            <w:bottom w:val="none" w:sz="0" w:space="0" w:color="auto"/>
            <w:right w:val="none" w:sz="0" w:space="0" w:color="auto"/>
          </w:divBdr>
          <w:divsChild>
            <w:div w:id="78259124">
              <w:marLeft w:val="0"/>
              <w:marRight w:val="0"/>
              <w:marTop w:val="0"/>
              <w:marBottom w:val="0"/>
              <w:divBdr>
                <w:top w:val="none" w:sz="0" w:space="0" w:color="auto"/>
                <w:left w:val="none" w:sz="0" w:space="0" w:color="auto"/>
                <w:bottom w:val="none" w:sz="0" w:space="0" w:color="auto"/>
                <w:right w:val="none" w:sz="0" w:space="0" w:color="auto"/>
              </w:divBdr>
              <w:divsChild>
                <w:div w:id="1796363654">
                  <w:marLeft w:val="0"/>
                  <w:marRight w:val="1"/>
                  <w:marTop w:val="0"/>
                  <w:marBottom w:val="0"/>
                  <w:divBdr>
                    <w:top w:val="none" w:sz="0" w:space="0" w:color="auto"/>
                    <w:left w:val="none" w:sz="0" w:space="0" w:color="auto"/>
                    <w:bottom w:val="none" w:sz="0" w:space="0" w:color="auto"/>
                    <w:right w:val="none" w:sz="0" w:space="0" w:color="auto"/>
                  </w:divBdr>
                  <w:divsChild>
                    <w:div w:id="711812096">
                      <w:marLeft w:val="0"/>
                      <w:marRight w:val="0"/>
                      <w:marTop w:val="0"/>
                      <w:marBottom w:val="0"/>
                      <w:divBdr>
                        <w:top w:val="none" w:sz="0" w:space="0" w:color="auto"/>
                        <w:left w:val="none" w:sz="0" w:space="0" w:color="auto"/>
                        <w:bottom w:val="none" w:sz="0" w:space="0" w:color="auto"/>
                        <w:right w:val="none" w:sz="0" w:space="0" w:color="auto"/>
                      </w:divBdr>
                      <w:divsChild>
                        <w:div w:id="402797436">
                          <w:marLeft w:val="0"/>
                          <w:marRight w:val="0"/>
                          <w:marTop w:val="0"/>
                          <w:marBottom w:val="0"/>
                          <w:divBdr>
                            <w:top w:val="none" w:sz="0" w:space="0" w:color="auto"/>
                            <w:left w:val="none" w:sz="0" w:space="0" w:color="auto"/>
                            <w:bottom w:val="none" w:sz="0" w:space="0" w:color="auto"/>
                            <w:right w:val="none" w:sz="0" w:space="0" w:color="auto"/>
                          </w:divBdr>
                          <w:divsChild>
                            <w:div w:id="1184517249">
                              <w:marLeft w:val="0"/>
                              <w:marRight w:val="0"/>
                              <w:marTop w:val="120"/>
                              <w:marBottom w:val="360"/>
                              <w:divBdr>
                                <w:top w:val="none" w:sz="0" w:space="0" w:color="auto"/>
                                <w:left w:val="none" w:sz="0" w:space="0" w:color="auto"/>
                                <w:bottom w:val="none" w:sz="0" w:space="0" w:color="auto"/>
                                <w:right w:val="none" w:sz="0" w:space="0" w:color="auto"/>
                              </w:divBdr>
                              <w:divsChild>
                                <w:div w:id="379287636">
                                  <w:marLeft w:val="0"/>
                                  <w:marRight w:val="0"/>
                                  <w:marTop w:val="0"/>
                                  <w:marBottom w:val="0"/>
                                  <w:divBdr>
                                    <w:top w:val="none" w:sz="0" w:space="0" w:color="auto"/>
                                    <w:left w:val="none" w:sz="0" w:space="0" w:color="auto"/>
                                    <w:bottom w:val="none" w:sz="0" w:space="0" w:color="auto"/>
                                    <w:right w:val="none" w:sz="0" w:space="0" w:color="auto"/>
                                  </w:divBdr>
                                </w:div>
                                <w:div w:id="77797326">
                                  <w:marLeft w:val="420"/>
                                  <w:marRight w:val="0"/>
                                  <w:marTop w:val="0"/>
                                  <w:marBottom w:val="0"/>
                                  <w:divBdr>
                                    <w:top w:val="none" w:sz="0" w:space="0" w:color="auto"/>
                                    <w:left w:val="none" w:sz="0" w:space="0" w:color="auto"/>
                                    <w:bottom w:val="none" w:sz="0" w:space="0" w:color="auto"/>
                                    <w:right w:val="none" w:sz="0" w:space="0" w:color="auto"/>
                                  </w:divBdr>
                                  <w:divsChild>
                                    <w:div w:id="165348758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577090">
      <w:bodyDiv w:val="1"/>
      <w:marLeft w:val="0"/>
      <w:marRight w:val="0"/>
      <w:marTop w:val="0"/>
      <w:marBottom w:val="0"/>
      <w:divBdr>
        <w:top w:val="none" w:sz="0" w:space="0" w:color="auto"/>
        <w:left w:val="none" w:sz="0" w:space="0" w:color="auto"/>
        <w:bottom w:val="none" w:sz="0" w:space="0" w:color="auto"/>
        <w:right w:val="none" w:sz="0" w:space="0" w:color="auto"/>
      </w:divBdr>
      <w:divsChild>
        <w:div w:id="807166810">
          <w:marLeft w:val="0"/>
          <w:marRight w:val="1"/>
          <w:marTop w:val="0"/>
          <w:marBottom w:val="0"/>
          <w:divBdr>
            <w:top w:val="none" w:sz="0" w:space="0" w:color="auto"/>
            <w:left w:val="none" w:sz="0" w:space="0" w:color="auto"/>
            <w:bottom w:val="none" w:sz="0" w:space="0" w:color="auto"/>
            <w:right w:val="none" w:sz="0" w:space="0" w:color="auto"/>
          </w:divBdr>
          <w:divsChild>
            <w:div w:id="885799878">
              <w:marLeft w:val="0"/>
              <w:marRight w:val="0"/>
              <w:marTop w:val="0"/>
              <w:marBottom w:val="0"/>
              <w:divBdr>
                <w:top w:val="none" w:sz="0" w:space="0" w:color="auto"/>
                <w:left w:val="none" w:sz="0" w:space="0" w:color="auto"/>
                <w:bottom w:val="none" w:sz="0" w:space="0" w:color="auto"/>
                <w:right w:val="none" w:sz="0" w:space="0" w:color="auto"/>
              </w:divBdr>
              <w:divsChild>
                <w:div w:id="1657881126">
                  <w:marLeft w:val="0"/>
                  <w:marRight w:val="1"/>
                  <w:marTop w:val="0"/>
                  <w:marBottom w:val="0"/>
                  <w:divBdr>
                    <w:top w:val="none" w:sz="0" w:space="0" w:color="auto"/>
                    <w:left w:val="none" w:sz="0" w:space="0" w:color="auto"/>
                    <w:bottom w:val="none" w:sz="0" w:space="0" w:color="auto"/>
                    <w:right w:val="none" w:sz="0" w:space="0" w:color="auto"/>
                  </w:divBdr>
                  <w:divsChild>
                    <w:div w:id="10618743">
                      <w:marLeft w:val="0"/>
                      <w:marRight w:val="0"/>
                      <w:marTop w:val="0"/>
                      <w:marBottom w:val="0"/>
                      <w:divBdr>
                        <w:top w:val="none" w:sz="0" w:space="0" w:color="auto"/>
                        <w:left w:val="none" w:sz="0" w:space="0" w:color="auto"/>
                        <w:bottom w:val="none" w:sz="0" w:space="0" w:color="auto"/>
                        <w:right w:val="none" w:sz="0" w:space="0" w:color="auto"/>
                      </w:divBdr>
                      <w:divsChild>
                        <w:div w:id="660696896">
                          <w:marLeft w:val="0"/>
                          <w:marRight w:val="0"/>
                          <w:marTop w:val="0"/>
                          <w:marBottom w:val="0"/>
                          <w:divBdr>
                            <w:top w:val="none" w:sz="0" w:space="0" w:color="auto"/>
                            <w:left w:val="none" w:sz="0" w:space="0" w:color="auto"/>
                            <w:bottom w:val="none" w:sz="0" w:space="0" w:color="auto"/>
                            <w:right w:val="none" w:sz="0" w:space="0" w:color="auto"/>
                          </w:divBdr>
                          <w:divsChild>
                            <w:div w:id="1441533851">
                              <w:marLeft w:val="0"/>
                              <w:marRight w:val="0"/>
                              <w:marTop w:val="120"/>
                              <w:marBottom w:val="360"/>
                              <w:divBdr>
                                <w:top w:val="none" w:sz="0" w:space="0" w:color="auto"/>
                                <w:left w:val="none" w:sz="0" w:space="0" w:color="auto"/>
                                <w:bottom w:val="none" w:sz="0" w:space="0" w:color="auto"/>
                                <w:right w:val="none" w:sz="0" w:space="0" w:color="auto"/>
                              </w:divBdr>
                              <w:divsChild>
                                <w:div w:id="1776948222">
                                  <w:marLeft w:val="0"/>
                                  <w:marRight w:val="0"/>
                                  <w:marTop w:val="0"/>
                                  <w:marBottom w:val="0"/>
                                  <w:divBdr>
                                    <w:top w:val="none" w:sz="0" w:space="0" w:color="auto"/>
                                    <w:left w:val="none" w:sz="0" w:space="0" w:color="auto"/>
                                    <w:bottom w:val="none" w:sz="0" w:space="0" w:color="auto"/>
                                    <w:right w:val="none" w:sz="0" w:space="0" w:color="auto"/>
                                  </w:divBdr>
                                </w:div>
                                <w:div w:id="1758673533">
                                  <w:marLeft w:val="420"/>
                                  <w:marRight w:val="0"/>
                                  <w:marTop w:val="0"/>
                                  <w:marBottom w:val="0"/>
                                  <w:divBdr>
                                    <w:top w:val="none" w:sz="0" w:space="0" w:color="auto"/>
                                    <w:left w:val="none" w:sz="0" w:space="0" w:color="auto"/>
                                    <w:bottom w:val="none" w:sz="0" w:space="0" w:color="auto"/>
                                    <w:right w:val="none" w:sz="0" w:space="0" w:color="auto"/>
                                  </w:divBdr>
                                  <w:divsChild>
                                    <w:div w:id="7864421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4372297">
      <w:bodyDiv w:val="1"/>
      <w:marLeft w:val="0"/>
      <w:marRight w:val="0"/>
      <w:marTop w:val="0"/>
      <w:marBottom w:val="0"/>
      <w:divBdr>
        <w:top w:val="none" w:sz="0" w:space="0" w:color="auto"/>
        <w:left w:val="none" w:sz="0" w:space="0" w:color="auto"/>
        <w:bottom w:val="none" w:sz="0" w:space="0" w:color="auto"/>
        <w:right w:val="none" w:sz="0" w:space="0" w:color="auto"/>
      </w:divBdr>
      <w:divsChild>
        <w:div w:id="845437900">
          <w:marLeft w:val="0"/>
          <w:marRight w:val="1"/>
          <w:marTop w:val="0"/>
          <w:marBottom w:val="0"/>
          <w:divBdr>
            <w:top w:val="none" w:sz="0" w:space="0" w:color="auto"/>
            <w:left w:val="none" w:sz="0" w:space="0" w:color="auto"/>
            <w:bottom w:val="none" w:sz="0" w:space="0" w:color="auto"/>
            <w:right w:val="none" w:sz="0" w:space="0" w:color="auto"/>
          </w:divBdr>
          <w:divsChild>
            <w:div w:id="555974096">
              <w:marLeft w:val="0"/>
              <w:marRight w:val="0"/>
              <w:marTop w:val="0"/>
              <w:marBottom w:val="0"/>
              <w:divBdr>
                <w:top w:val="none" w:sz="0" w:space="0" w:color="auto"/>
                <w:left w:val="none" w:sz="0" w:space="0" w:color="auto"/>
                <w:bottom w:val="none" w:sz="0" w:space="0" w:color="auto"/>
                <w:right w:val="none" w:sz="0" w:space="0" w:color="auto"/>
              </w:divBdr>
              <w:divsChild>
                <w:div w:id="165637422">
                  <w:marLeft w:val="0"/>
                  <w:marRight w:val="1"/>
                  <w:marTop w:val="0"/>
                  <w:marBottom w:val="0"/>
                  <w:divBdr>
                    <w:top w:val="none" w:sz="0" w:space="0" w:color="auto"/>
                    <w:left w:val="none" w:sz="0" w:space="0" w:color="auto"/>
                    <w:bottom w:val="none" w:sz="0" w:space="0" w:color="auto"/>
                    <w:right w:val="none" w:sz="0" w:space="0" w:color="auto"/>
                  </w:divBdr>
                  <w:divsChild>
                    <w:div w:id="663169994">
                      <w:marLeft w:val="0"/>
                      <w:marRight w:val="0"/>
                      <w:marTop w:val="0"/>
                      <w:marBottom w:val="0"/>
                      <w:divBdr>
                        <w:top w:val="none" w:sz="0" w:space="0" w:color="auto"/>
                        <w:left w:val="none" w:sz="0" w:space="0" w:color="auto"/>
                        <w:bottom w:val="none" w:sz="0" w:space="0" w:color="auto"/>
                        <w:right w:val="none" w:sz="0" w:space="0" w:color="auto"/>
                      </w:divBdr>
                      <w:divsChild>
                        <w:div w:id="1560168914">
                          <w:marLeft w:val="0"/>
                          <w:marRight w:val="0"/>
                          <w:marTop w:val="0"/>
                          <w:marBottom w:val="0"/>
                          <w:divBdr>
                            <w:top w:val="none" w:sz="0" w:space="0" w:color="auto"/>
                            <w:left w:val="none" w:sz="0" w:space="0" w:color="auto"/>
                            <w:bottom w:val="none" w:sz="0" w:space="0" w:color="auto"/>
                            <w:right w:val="none" w:sz="0" w:space="0" w:color="auto"/>
                          </w:divBdr>
                          <w:divsChild>
                            <w:div w:id="896015574">
                              <w:marLeft w:val="0"/>
                              <w:marRight w:val="0"/>
                              <w:marTop w:val="120"/>
                              <w:marBottom w:val="360"/>
                              <w:divBdr>
                                <w:top w:val="none" w:sz="0" w:space="0" w:color="auto"/>
                                <w:left w:val="none" w:sz="0" w:space="0" w:color="auto"/>
                                <w:bottom w:val="none" w:sz="0" w:space="0" w:color="auto"/>
                                <w:right w:val="none" w:sz="0" w:space="0" w:color="auto"/>
                              </w:divBdr>
                              <w:divsChild>
                                <w:div w:id="2107186463">
                                  <w:marLeft w:val="0"/>
                                  <w:marRight w:val="0"/>
                                  <w:marTop w:val="0"/>
                                  <w:marBottom w:val="0"/>
                                  <w:divBdr>
                                    <w:top w:val="none" w:sz="0" w:space="0" w:color="auto"/>
                                    <w:left w:val="none" w:sz="0" w:space="0" w:color="auto"/>
                                    <w:bottom w:val="none" w:sz="0" w:space="0" w:color="auto"/>
                                    <w:right w:val="none" w:sz="0" w:space="0" w:color="auto"/>
                                  </w:divBdr>
                                </w:div>
                                <w:div w:id="583414899">
                                  <w:marLeft w:val="420"/>
                                  <w:marRight w:val="0"/>
                                  <w:marTop w:val="0"/>
                                  <w:marBottom w:val="0"/>
                                  <w:divBdr>
                                    <w:top w:val="none" w:sz="0" w:space="0" w:color="auto"/>
                                    <w:left w:val="none" w:sz="0" w:space="0" w:color="auto"/>
                                    <w:bottom w:val="none" w:sz="0" w:space="0" w:color="auto"/>
                                    <w:right w:val="none" w:sz="0" w:space="0" w:color="auto"/>
                                  </w:divBdr>
                                  <w:divsChild>
                                    <w:div w:id="123104104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343657">
      <w:bodyDiv w:val="1"/>
      <w:marLeft w:val="0"/>
      <w:marRight w:val="0"/>
      <w:marTop w:val="0"/>
      <w:marBottom w:val="0"/>
      <w:divBdr>
        <w:top w:val="none" w:sz="0" w:space="0" w:color="auto"/>
        <w:left w:val="none" w:sz="0" w:space="0" w:color="auto"/>
        <w:bottom w:val="none" w:sz="0" w:space="0" w:color="auto"/>
        <w:right w:val="none" w:sz="0" w:space="0" w:color="auto"/>
      </w:divBdr>
      <w:divsChild>
        <w:div w:id="2055157042">
          <w:marLeft w:val="0"/>
          <w:marRight w:val="1"/>
          <w:marTop w:val="0"/>
          <w:marBottom w:val="0"/>
          <w:divBdr>
            <w:top w:val="none" w:sz="0" w:space="0" w:color="auto"/>
            <w:left w:val="none" w:sz="0" w:space="0" w:color="auto"/>
            <w:bottom w:val="none" w:sz="0" w:space="0" w:color="auto"/>
            <w:right w:val="none" w:sz="0" w:space="0" w:color="auto"/>
          </w:divBdr>
          <w:divsChild>
            <w:div w:id="535197070">
              <w:marLeft w:val="0"/>
              <w:marRight w:val="0"/>
              <w:marTop w:val="0"/>
              <w:marBottom w:val="0"/>
              <w:divBdr>
                <w:top w:val="none" w:sz="0" w:space="0" w:color="auto"/>
                <w:left w:val="none" w:sz="0" w:space="0" w:color="auto"/>
                <w:bottom w:val="none" w:sz="0" w:space="0" w:color="auto"/>
                <w:right w:val="none" w:sz="0" w:space="0" w:color="auto"/>
              </w:divBdr>
              <w:divsChild>
                <w:div w:id="1743680808">
                  <w:marLeft w:val="0"/>
                  <w:marRight w:val="1"/>
                  <w:marTop w:val="0"/>
                  <w:marBottom w:val="0"/>
                  <w:divBdr>
                    <w:top w:val="none" w:sz="0" w:space="0" w:color="auto"/>
                    <w:left w:val="none" w:sz="0" w:space="0" w:color="auto"/>
                    <w:bottom w:val="none" w:sz="0" w:space="0" w:color="auto"/>
                    <w:right w:val="none" w:sz="0" w:space="0" w:color="auto"/>
                  </w:divBdr>
                  <w:divsChild>
                    <w:div w:id="1831870322">
                      <w:marLeft w:val="0"/>
                      <w:marRight w:val="0"/>
                      <w:marTop w:val="0"/>
                      <w:marBottom w:val="0"/>
                      <w:divBdr>
                        <w:top w:val="none" w:sz="0" w:space="0" w:color="auto"/>
                        <w:left w:val="none" w:sz="0" w:space="0" w:color="auto"/>
                        <w:bottom w:val="none" w:sz="0" w:space="0" w:color="auto"/>
                        <w:right w:val="none" w:sz="0" w:space="0" w:color="auto"/>
                      </w:divBdr>
                      <w:divsChild>
                        <w:div w:id="582951254">
                          <w:marLeft w:val="0"/>
                          <w:marRight w:val="0"/>
                          <w:marTop w:val="0"/>
                          <w:marBottom w:val="0"/>
                          <w:divBdr>
                            <w:top w:val="none" w:sz="0" w:space="0" w:color="auto"/>
                            <w:left w:val="none" w:sz="0" w:space="0" w:color="auto"/>
                            <w:bottom w:val="none" w:sz="0" w:space="0" w:color="auto"/>
                            <w:right w:val="none" w:sz="0" w:space="0" w:color="auto"/>
                          </w:divBdr>
                          <w:divsChild>
                            <w:div w:id="1399549220">
                              <w:marLeft w:val="0"/>
                              <w:marRight w:val="0"/>
                              <w:marTop w:val="120"/>
                              <w:marBottom w:val="360"/>
                              <w:divBdr>
                                <w:top w:val="none" w:sz="0" w:space="0" w:color="auto"/>
                                <w:left w:val="none" w:sz="0" w:space="0" w:color="auto"/>
                                <w:bottom w:val="none" w:sz="0" w:space="0" w:color="auto"/>
                                <w:right w:val="none" w:sz="0" w:space="0" w:color="auto"/>
                              </w:divBdr>
                              <w:divsChild>
                                <w:div w:id="576944327">
                                  <w:marLeft w:val="0"/>
                                  <w:marRight w:val="0"/>
                                  <w:marTop w:val="0"/>
                                  <w:marBottom w:val="0"/>
                                  <w:divBdr>
                                    <w:top w:val="none" w:sz="0" w:space="0" w:color="auto"/>
                                    <w:left w:val="none" w:sz="0" w:space="0" w:color="auto"/>
                                    <w:bottom w:val="none" w:sz="0" w:space="0" w:color="auto"/>
                                    <w:right w:val="none" w:sz="0" w:space="0" w:color="auto"/>
                                  </w:divBdr>
                                </w:div>
                                <w:div w:id="988635231">
                                  <w:marLeft w:val="420"/>
                                  <w:marRight w:val="0"/>
                                  <w:marTop w:val="0"/>
                                  <w:marBottom w:val="0"/>
                                  <w:divBdr>
                                    <w:top w:val="none" w:sz="0" w:space="0" w:color="auto"/>
                                    <w:left w:val="none" w:sz="0" w:space="0" w:color="auto"/>
                                    <w:bottom w:val="none" w:sz="0" w:space="0" w:color="auto"/>
                                    <w:right w:val="none" w:sz="0" w:space="0" w:color="auto"/>
                                  </w:divBdr>
                                  <w:divsChild>
                                    <w:div w:id="12065240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0436740">
      <w:bodyDiv w:val="1"/>
      <w:marLeft w:val="0"/>
      <w:marRight w:val="0"/>
      <w:marTop w:val="0"/>
      <w:marBottom w:val="0"/>
      <w:divBdr>
        <w:top w:val="none" w:sz="0" w:space="0" w:color="auto"/>
        <w:left w:val="none" w:sz="0" w:space="0" w:color="auto"/>
        <w:bottom w:val="none" w:sz="0" w:space="0" w:color="auto"/>
        <w:right w:val="none" w:sz="0" w:space="0" w:color="auto"/>
      </w:divBdr>
      <w:divsChild>
        <w:div w:id="778375315">
          <w:marLeft w:val="0"/>
          <w:marRight w:val="1"/>
          <w:marTop w:val="0"/>
          <w:marBottom w:val="0"/>
          <w:divBdr>
            <w:top w:val="none" w:sz="0" w:space="0" w:color="auto"/>
            <w:left w:val="none" w:sz="0" w:space="0" w:color="auto"/>
            <w:bottom w:val="none" w:sz="0" w:space="0" w:color="auto"/>
            <w:right w:val="none" w:sz="0" w:space="0" w:color="auto"/>
          </w:divBdr>
          <w:divsChild>
            <w:div w:id="1632518426">
              <w:marLeft w:val="0"/>
              <w:marRight w:val="0"/>
              <w:marTop w:val="0"/>
              <w:marBottom w:val="0"/>
              <w:divBdr>
                <w:top w:val="none" w:sz="0" w:space="0" w:color="auto"/>
                <w:left w:val="none" w:sz="0" w:space="0" w:color="auto"/>
                <w:bottom w:val="none" w:sz="0" w:space="0" w:color="auto"/>
                <w:right w:val="none" w:sz="0" w:space="0" w:color="auto"/>
              </w:divBdr>
              <w:divsChild>
                <w:div w:id="1868830000">
                  <w:marLeft w:val="0"/>
                  <w:marRight w:val="1"/>
                  <w:marTop w:val="0"/>
                  <w:marBottom w:val="0"/>
                  <w:divBdr>
                    <w:top w:val="none" w:sz="0" w:space="0" w:color="auto"/>
                    <w:left w:val="none" w:sz="0" w:space="0" w:color="auto"/>
                    <w:bottom w:val="none" w:sz="0" w:space="0" w:color="auto"/>
                    <w:right w:val="none" w:sz="0" w:space="0" w:color="auto"/>
                  </w:divBdr>
                  <w:divsChild>
                    <w:div w:id="194730256">
                      <w:marLeft w:val="0"/>
                      <w:marRight w:val="0"/>
                      <w:marTop w:val="0"/>
                      <w:marBottom w:val="0"/>
                      <w:divBdr>
                        <w:top w:val="none" w:sz="0" w:space="0" w:color="auto"/>
                        <w:left w:val="none" w:sz="0" w:space="0" w:color="auto"/>
                        <w:bottom w:val="none" w:sz="0" w:space="0" w:color="auto"/>
                        <w:right w:val="none" w:sz="0" w:space="0" w:color="auto"/>
                      </w:divBdr>
                      <w:divsChild>
                        <w:div w:id="1564413566">
                          <w:marLeft w:val="0"/>
                          <w:marRight w:val="0"/>
                          <w:marTop w:val="0"/>
                          <w:marBottom w:val="0"/>
                          <w:divBdr>
                            <w:top w:val="none" w:sz="0" w:space="0" w:color="auto"/>
                            <w:left w:val="none" w:sz="0" w:space="0" w:color="auto"/>
                            <w:bottom w:val="none" w:sz="0" w:space="0" w:color="auto"/>
                            <w:right w:val="none" w:sz="0" w:space="0" w:color="auto"/>
                          </w:divBdr>
                          <w:divsChild>
                            <w:div w:id="1633364293">
                              <w:marLeft w:val="0"/>
                              <w:marRight w:val="0"/>
                              <w:marTop w:val="120"/>
                              <w:marBottom w:val="360"/>
                              <w:divBdr>
                                <w:top w:val="none" w:sz="0" w:space="0" w:color="auto"/>
                                <w:left w:val="none" w:sz="0" w:space="0" w:color="auto"/>
                                <w:bottom w:val="none" w:sz="0" w:space="0" w:color="auto"/>
                                <w:right w:val="none" w:sz="0" w:space="0" w:color="auto"/>
                              </w:divBdr>
                              <w:divsChild>
                                <w:div w:id="1311010712">
                                  <w:marLeft w:val="0"/>
                                  <w:marRight w:val="0"/>
                                  <w:marTop w:val="0"/>
                                  <w:marBottom w:val="0"/>
                                  <w:divBdr>
                                    <w:top w:val="none" w:sz="0" w:space="0" w:color="auto"/>
                                    <w:left w:val="none" w:sz="0" w:space="0" w:color="auto"/>
                                    <w:bottom w:val="none" w:sz="0" w:space="0" w:color="auto"/>
                                    <w:right w:val="none" w:sz="0" w:space="0" w:color="auto"/>
                                  </w:divBdr>
                                </w:div>
                                <w:div w:id="1261793434">
                                  <w:marLeft w:val="420"/>
                                  <w:marRight w:val="0"/>
                                  <w:marTop w:val="0"/>
                                  <w:marBottom w:val="0"/>
                                  <w:divBdr>
                                    <w:top w:val="none" w:sz="0" w:space="0" w:color="auto"/>
                                    <w:left w:val="none" w:sz="0" w:space="0" w:color="auto"/>
                                    <w:bottom w:val="none" w:sz="0" w:space="0" w:color="auto"/>
                                    <w:right w:val="none" w:sz="0" w:space="0" w:color="auto"/>
                                  </w:divBdr>
                                  <w:divsChild>
                                    <w:div w:id="108071763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470140">
      <w:bodyDiv w:val="1"/>
      <w:marLeft w:val="0"/>
      <w:marRight w:val="0"/>
      <w:marTop w:val="0"/>
      <w:marBottom w:val="0"/>
      <w:divBdr>
        <w:top w:val="none" w:sz="0" w:space="0" w:color="auto"/>
        <w:left w:val="none" w:sz="0" w:space="0" w:color="auto"/>
        <w:bottom w:val="none" w:sz="0" w:space="0" w:color="auto"/>
        <w:right w:val="none" w:sz="0" w:space="0" w:color="auto"/>
      </w:divBdr>
      <w:divsChild>
        <w:div w:id="1889797681">
          <w:marLeft w:val="0"/>
          <w:marRight w:val="0"/>
          <w:marTop w:val="0"/>
          <w:marBottom w:val="0"/>
          <w:divBdr>
            <w:top w:val="none" w:sz="0" w:space="0" w:color="auto"/>
            <w:left w:val="none" w:sz="0" w:space="0" w:color="auto"/>
            <w:bottom w:val="none" w:sz="0" w:space="0" w:color="auto"/>
            <w:right w:val="none" w:sz="0" w:space="0" w:color="auto"/>
          </w:divBdr>
          <w:divsChild>
            <w:div w:id="678309714">
              <w:marLeft w:val="0"/>
              <w:marRight w:val="0"/>
              <w:marTop w:val="0"/>
              <w:marBottom w:val="720"/>
              <w:divBdr>
                <w:top w:val="none" w:sz="0" w:space="0" w:color="auto"/>
                <w:left w:val="single" w:sz="12" w:space="0" w:color="CCCCCC"/>
                <w:bottom w:val="single" w:sz="12" w:space="0" w:color="CCCCCC"/>
                <w:right w:val="single" w:sz="12" w:space="0" w:color="CCCCCC"/>
              </w:divBdr>
              <w:divsChild>
                <w:div w:id="1184711643">
                  <w:marLeft w:val="0"/>
                  <w:marRight w:val="0"/>
                  <w:marTop w:val="0"/>
                  <w:marBottom w:val="0"/>
                  <w:divBdr>
                    <w:top w:val="none" w:sz="0" w:space="0" w:color="auto"/>
                    <w:left w:val="none" w:sz="0" w:space="0" w:color="auto"/>
                    <w:bottom w:val="single" w:sz="6" w:space="6" w:color="CCCCCC"/>
                    <w:right w:val="none" w:sz="0" w:space="0" w:color="auto"/>
                  </w:divBdr>
                  <w:divsChild>
                    <w:div w:id="143956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des.fr/Espace" TargetMode="External"/><Relationship Id="rId13" Type="http://schemas.openxmlformats.org/officeDocument/2006/relationships/hyperlink" Target="http://www.ncbi.nlm.nih.gov/pubmed?term=Halpern%20M%5BAuthor%5D&amp;cauthor=true&amp;cauthor_uid=17403800" TargetMode="External"/><Relationship Id="rId18" Type="http://schemas.openxmlformats.org/officeDocument/2006/relationships/hyperlink" Target="http://www.ncbi.nlm.nih.gov/pubmed/22734561" TargetMode="External"/><Relationship Id="rId26" Type="http://schemas.openxmlformats.org/officeDocument/2006/relationships/hyperlink" Target="http://www.ncbi.nlm.nih.gov/pubmed/15561731"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ncbi.nlm.nih.gov/pubmed/17448701"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ncbi.nlm.nih.gov/pubmed?term=Mowat%20F%5BAuthor%5D&amp;cauthor=true&amp;cauthor_uid=17403800" TargetMode="External"/><Relationship Id="rId17" Type="http://schemas.openxmlformats.org/officeDocument/2006/relationships/hyperlink" Target="http://www.ncbi.nlm.nih.gov/pubmed/21443958" TargetMode="External"/><Relationship Id="rId25" Type="http://schemas.openxmlformats.org/officeDocument/2006/relationships/hyperlink" Target="http://www.ncbi.nlm.nih.gov/pubmed/21875678"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cbi.nlm.nih.gov/pubmed/18050181" TargetMode="External"/><Relationship Id="rId20" Type="http://schemas.openxmlformats.org/officeDocument/2006/relationships/hyperlink" Target="http://www.ncbi.nlm.nih.gov/pubmed/19252958" TargetMode="External"/><Relationship Id="rId29" Type="http://schemas.openxmlformats.org/officeDocument/2006/relationships/hyperlink" Target="http://www.ncbi.nlm.nih.gov/pubmed/1996108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cbi.nlm.nih.gov/pubmed?term=Lau%20E%5BAuthor%5D&amp;cauthor=true&amp;cauthor_uid=17403800" TargetMode="External"/><Relationship Id="rId24" Type="http://schemas.openxmlformats.org/officeDocument/2006/relationships/hyperlink" Target="http://www.ncbi.nlm.nih.gov/pubmed/21722501"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ncbi.nlm.nih.gov/pubmed/22563589" TargetMode="External"/><Relationship Id="rId23" Type="http://schemas.openxmlformats.org/officeDocument/2006/relationships/hyperlink" Target="http://www.ncbi.nlm.nih.gov/pubmed/22294639" TargetMode="External"/><Relationship Id="rId28" Type="http://schemas.openxmlformats.org/officeDocument/2006/relationships/hyperlink" Target="http://www.ncbi.nlm.nih.gov/pubmed/12510956" TargetMode="External"/><Relationship Id="rId36" Type="http://schemas.openxmlformats.org/officeDocument/2006/relationships/header" Target="header3.xml"/><Relationship Id="rId10" Type="http://schemas.openxmlformats.org/officeDocument/2006/relationships/hyperlink" Target="http://www.ncbi.nlm.nih.gov/pubmed?term=Ong%20K%5BAuthor%5D&amp;cauthor=true&amp;cauthor_uid=17403800" TargetMode="External"/><Relationship Id="rId19" Type="http://schemas.openxmlformats.org/officeDocument/2006/relationships/hyperlink" Target="http://www.ncbi.nlm.nih.gov/pubmed/22868835" TargetMode="External"/><Relationship Id="rId31" Type="http://schemas.openxmlformats.org/officeDocument/2006/relationships/hyperlink" Target="http://www.ncbi.nlm.nih.gov/pubmed/22294639" TargetMode="External"/><Relationship Id="rId4" Type="http://schemas.openxmlformats.org/officeDocument/2006/relationships/settings" Target="settings.xml"/><Relationship Id="rId9" Type="http://schemas.openxmlformats.org/officeDocument/2006/relationships/hyperlink" Target="http://www.ncbi.nlm.nih.gov/pubmed?term=Kurtz%20S%5BAuthor%5D&amp;cauthor=true&amp;cauthor_uid=17403800" TargetMode="External"/><Relationship Id="rId14" Type="http://schemas.openxmlformats.org/officeDocument/2006/relationships/hyperlink" Target="http://www.ncbi.nlm.nih.gov/pubmed/17403800" TargetMode="External"/><Relationship Id="rId22" Type="http://schemas.openxmlformats.org/officeDocument/2006/relationships/hyperlink" Target="http://www.ncbi.nlm.nih.gov/pubmed/22964536" TargetMode="External"/><Relationship Id="rId27" Type="http://schemas.openxmlformats.org/officeDocument/2006/relationships/hyperlink" Target="http://www.ncbi.nlm.nih.gov/pubmed/10088770" TargetMode="External"/><Relationship Id="rId30" Type="http://schemas.openxmlformats.org/officeDocument/2006/relationships/hyperlink" Target="http://www.ncbi.nlm.nih.gov/pubmed/21722501" TargetMode="External"/><Relationship Id="rId35"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7521</Words>
  <Characters>41368</Characters>
  <Application>Microsoft Office Word</Application>
  <DocSecurity>0</DocSecurity>
  <Lines>344</Lines>
  <Paragraphs>97</Paragraphs>
  <ScaleCrop>false</ScaleCrop>
  <HeadingPairs>
    <vt:vector size="2" baseType="variant">
      <vt:variant>
        <vt:lpstr>Titre</vt:lpstr>
      </vt:variant>
      <vt:variant>
        <vt:i4>1</vt:i4>
      </vt:variant>
    </vt:vector>
  </HeadingPairs>
  <TitlesOfParts>
    <vt:vector size="1" baseType="lpstr">
      <vt:lpstr/>
    </vt:vector>
  </TitlesOfParts>
  <Company>Cabinet Medical Vaudoyer</Company>
  <LinksUpToDate>false</LinksUpToDate>
  <CharactersWithSpaces>48792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Hervé Bard</dc:creator>
  <cp:lastModifiedBy>Acer</cp:lastModifiedBy>
  <cp:revision>2</cp:revision>
  <cp:lastPrinted>2013-07-31T10:22:00Z</cp:lastPrinted>
  <dcterms:created xsi:type="dcterms:W3CDTF">2013-08-24T07:18:00Z</dcterms:created>
  <dcterms:modified xsi:type="dcterms:W3CDTF">2013-08-24T07:18:00Z</dcterms:modified>
</cp:coreProperties>
</file>